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D5" w:rsidRDefault="00866ED5" w:rsidP="00866ED5">
      <w:pPr>
        <w:pStyle w:val="ConsPlusNormal"/>
        <w:jc w:val="right"/>
        <w:outlineLvl w:val="1"/>
      </w:pPr>
      <w:r>
        <w:t>Таблица 2</w:t>
      </w:r>
    </w:p>
    <w:p w:rsidR="00866ED5" w:rsidRDefault="00866ED5" w:rsidP="00866ED5">
      <w:pPr>
        <w:pStyle w:val="ConsPlusNormal"/>
        <w:jc w:val="right"/>
      </w:pPr>
      <w:r>
        <w:t>приложения 2</w:t>
      </w:r>
    </w:p>
    <w:p w:rsidR="00866ED5" w:rsidRDefault="00866ED5" w:rsidP="00866ED5">
      <w:pPr>
        <w:pStyle w:val="ConsPlusNormal"/>
        <w:jc w:val="both"/>
      </w:pPr>
    </w:p>
    <w:p w:rsidR="00866ED5" w:rsidRDefault="00866ED5" w:rsidP="00866ED5">
      <w:pPr>
        <w:pStyle w:val="ConsPlusTitle"/>
        <w:jc w:val="center"/>
      </w:pPr>
      <w:bookmarkStart w:id="0" w:name="P1425"/>
      <w:bookmarkEnd w:id="0"/>
      <w:r>
        <w:t>Перечень</w:t>
      </w:r>
    </w:p>
    <w:p w:rsidR="00866ED5" w:rsidRDefault="00866ED5" w:rsidP="00866ED5">
      <w:pPr>
        <w:pStyle w:val="ConsPlusTitle"/>
        <w:jc w:val="center"/>
      </w:pPr>
      <w:r>
        <w:t>главных администраторов безвозмездных поступлений бюджета</w:t>
      </w:r>
    </w:p>
    <w:p w:rsidR="00866ED5" w:rsidRDefault="00866ED5" w:rsidP="00866ED5">
      <w:pPr>
        <w:pStyle w:val="ConsPlusTitle"/>
        <w:jc w:val="center"/>
      </w:pPr>
      <w:r>
        <w:t>края - исполнительных органов государственной власти</w:t>
      </w:r>
    </w:p>
    <w:p w:rsidR="00866ED5" w:rsidRDefault="00866ED5" w:rsidP="00866ED5">
      <w:pPr>
        <w:pStyle w:val="ConsPlusTitle"/>
        <w:jc w:val="center"/>
      </w:pPr>
      <w:r>
        <w:t>Забайкальского края</w:t>
      </w:r>
    </w:p>
    <w:p w:rsidR="00866ED5" w:rsidRDefault="00866ED5" w:rsidP="00866ED5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66ED5" w:rsidRDefault="00866ED5" w:rsidP="00866ED5">
      <w:pPr>
        <w:pStyle w:val="ConsPlusNormal"/>
        <w:jc w:val="center"/>
      </w:pPr>
      <w:r>
        <w:t>от 06.06.2019 N 1729-ЗЗК)</w:t>
      </w:r>
    </w:p>
    <w:p w:rsidR="00866ED5" w:rsidRDefault="00866ED5" w:rsidP="00866ED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866ED5" w:rsidTr="00080911">
        <w:tc>
          <w:tcPr>
            <w:tcW w:w="3971" w:type="dxa"/>
            <w:gridSpan w:val="2"/>
            <w:vAlign w:val="center"/>
          </w:tcPr>
          <w:p w:rsidR="00866ED5" w:rsidRDefault="00866ED5" w:rsidP="00080911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866ED5" w:rsidRDefault="00866ED5" w:rsidP="00080911">
            <w:pPr>
              <w:pStyle w:val="ConsPlusNormal"/>
              <w:jc w:val="center"/>
            </w:pPr>
            <w:r>
              <w:t>Наименование главных администраторов безвозмездных поступлений бюджета края - исполнительных органов государственной власти Забайкальского края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866ED5" w:rsidRDefault="00866ED5" w:rsidP="00080911"/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</w:t>
            </w:r>
            <w:r>
              <w:lastRenderedPageBreak/>
              <w:t>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2 02 45505 02 0000 150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реализацию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>
              <w:lastRenderedPageBreak/>
              <w:t>начисленных на излишне взысканные суммы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2 02 25170 02 0000 150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развитие паллиативной медицинской помощи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создание и оснащение </w:t>
            </w:r>
            <w:proofErr w:type="spellStart"/>
            <w:r>
              <w:t>референс</w:t>
            </w:r>
            <w:proofErr w:type="spellEnd"/>
            <w:r>
              <w:t xml:space="preserve">-центров для проведения </w:t>
            </w:r>
            <w:proofErr w:type="spellStart"/>
            <w:r>
              <w:t>иммуногистохимических</w:t>
            </w:r>
            <w:proofErr w:type="spellEnd"/>
            <w: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2 02 45191 02 0000 150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Межбюджетные трансферты, передаваемые </w:t>
            </w:r>
            <w:r>
              <w:lastRenderedPageBreak/>
              <w:t>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2 02 45196 02 0000 150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</w:t>
            </w:r>
            <w:proofErr w:type="gramEnd"/>
            <w:r>
              <w:t>) тканей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2 02 45295 02 0000 150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реализацию отдельных мероприятий государственной </w:t>
            </w:r>
            <w:hyperlink r:id="rId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2 19 35460 02 0000 150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2 19 45672 02 0000 150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на 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2 19 45676 02 0000 150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Субсидия бюджетам субъектов Российской Федерации на поддержку отрасли культуры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осуществление ежемесячной денежной выплаты, назначаемой в случае </w:t>
            </w:r>
            <w:r>
              <w:lastRenderedPageBreak/>
              <w:t>рождения третьего ребенка или последующих детей до достижения ребенком возраста трех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2 02 29001 02 0000 150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за счет средств резервного фонда Правительства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переданного полномочия Российской Федерации по </w:t>
            </w:r>
            <w:r>
              <w:lastRenderedPageBreak/>
              <w:t>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2 02 45293 02 0000 150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приобретение автотранспорта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2 02 45294 02 0000 150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государственной </w:t>
            </w:r>
            <w:hyperlink r:id="rId1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2 18 71020 02 0000 150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мероприятия государственной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2 19 25082 02 0000 150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ежемесячную денежную выплату, назначаемую в случае </w:t>
            </w:r>
            <w:r>
              <w:lastRenderedPageBreak/>
              <w:t>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2 19 25462 02 0000 150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5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2 19 35135 02 0000 150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6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7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осуществление </w:t>
            </w:r>
            <w:r>
              <w:lastRenderedPageBreak/>
              <w:t>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</w:t>
            </w:r>
            <w:r>
              <w:lastRenderedPageBreak/>
              <w:t>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2 18 02030 02 0000 150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</w:t>
            </w:r>
            <w:r>
              <w:lastRenderedPageBreak/>
              <w:t>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2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2 02 25538 02 0000 150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2 02 25539 02 0000 150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2 02 45159 02 0000 150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  <w:r>
              <w:t xml:space="preserve">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2 18 45159 02 0000 150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</w:r>
            <w:proofErr w:type="gramEnd"/>
            <w: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>
              <w:t xml:space="preserve"> </w:t>
            </w:r>
            <w:r>
              <w:lastRenderedPageBreak/>
              <w:t>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2 19 45159 02 0000 150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2 03 02040 02 0000 150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2 18 25029 02 0000 150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федеральной целевой </w:t>
            </w:r>
            <w:hyperlink r:id="rId2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</w:t>
            </w:r>
            <w:r>
              <w:lastRenderedPageBreak/>
              <w:t>среды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мероприятия федеральной целевой </w:t>
            </w:r>
            <w:hyperlink r:id="rId2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2 19 25560 02 0000 150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поддержку обустройства мест массового отдыха населения (городских парков)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прочих остатков субсидий, субвенций и иных межбюджетных трансфертов, имеющих </w:t>
            </w:r>
            <w:r>
              <w:lastRenderedPageBreak/>
              <w:t>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2 02 25016 02 0000 150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мероприятия федеральной целевой </w:t>
            </w:r>
            <w:hyperlink r:id="rId2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2 02 25541 02 0000 150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2 02 25542 02 0000 150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2 02 25543 02 0000 150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2 02 45433 02 0000 150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2 02 45480 02 0000 150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реализацию мероприятий федеральной целевой </w:t>
            </w:r>
            <w:hyperlink r:id="rId2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 федеральной целевой </w:t>
            </w:r>
            <w:hyperlink r:id="rId2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2 19 25051 02 0000 150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Возврат остатков субсидий на оказание несвязанной поддержки сельскохозяйственным товаропроизводителям в области растениеводства </w:t>
            </w:r>
            <w:r>
              <w:lastRenderedPageBreak/>
              <w:t>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2 19 25544 02 0000 150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Федерации,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2 19 45433 02 0000 150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иных межбюджетных трансфертов на возмещение части затрат на уплату процентов по инвестиционным кредитам (займам) в агропромышленном комплексе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модернизацию и строительство очистных сооружений для очистки загрязненных сточных вод, поступающих в озеро Байкал и другие водные объекты Байкальской природной </w:t>
            </w:r>
            <w:r>
              <w:lastRenderedPageBreak/>
              <w:t>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866ED5" w:rsidTr="00080911">
        <w:tc>
          <w:tcPr>
            <w:tcW w:w="1247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866ED5" w:rsidRDefault="00866ED5" w:rsidP="00080911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866ED5" w:rsidRDefault="00866ED5" w:rsidP="00080911">
            <w:pPr>
              <w:pStyle w:val="ConsPlusNormal"/>
              <w:jc w:val="center"/>
              <w:outlineLvl w:val="2"/>
            </w:pPr>
            <w:r>
              <w:t xml:space="preserve">Министерство жилищно-коммунального хозяйства, энергетики, </w:t>
            </w:r>
            <w:proofErr w:type="spellStart"/>
            <w:r>
              <w:t>цифровизации</w:t>
            </w:r>
            <w:proofErr w:type="spellEnd"/>
            <w:r>
              <w:t xml:space="preserve"> и связи Забайкальского края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2 02 45424 02 0000 150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  <w:proofErr w:type="gramEnd"/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866ED5" w:rsidTr="00080911">
        <w:tc>
          <w:tcPr>
            <w:tcW w:w="1247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866ED5" w:rsidRDefault="00866ED5" w:rsidP="00080911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5046" w:type="dxa"/>
          </w:tcPr>
          <w:p w:rsidR="00866ED5" w:rsidRDefault="00866ED5" w:rsidP="00080911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</w:tbl>
    <w:p w:rsidR="00866ED5" w:rsidRDefault="00866ED5" w:rsidP="00866ED5">
      <w:pPr>
        <w:pStyle w:val="ConsPlusNormal"/>
        <w:jc w:val="both"/>
      </w:pPr>
    </w:p>
    <w:p w:rsidR="00866ED5" w:rsidRDefault="00866ED5" w:rsidP="00866ED5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7F"/>
    <w:rsid w:val="00405E27"/>
    <w:rsid w:val="00866ED5"/>
    <w:rsid w:val="00A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7C5A25CFF72799D33BC7390AE8553BEB131AA12CD8D6F2523BFE5EA7643310F9CA1C02F44EAA509D8E2A641M6h8B" TargetMode="External"/><Relationship Id="rId13" Type="http://schemas.openxmlformats.org/officeDocument/2006/relationships/hyperlink" Target="consultantplus://offline/ref=B227C5A25CFF72799D33BC7390AE8553BEB333A21ECE8D6F2523BFE5EA7643311D9CF9CC2F45F4A70BCDB4F7043496038BB3D6B270CB697AM1h0B" TargetMode="External"/><Relationship Id="rId18" Type="http://schemas.openxmlformats.org/officeDocument/2006/relationships/hyperlink" Target="consultantplus://offline/ref=B227C5A25CFF72799D33BC7390AE8553BEB131AA13CB8D6F2523BFE5EA7643310F9CA1C02F44EAA509D8E2A641M6h8B" TargetMode="External"/><Relationship Id="rId26" Type="http://schemas.openxmlformats.org/officeDocument/2006/relationships/hyperlink" Target="consultantplus://offline/ref=B227C5A25CFF72799D33BC7390AE8553BFB832A514CF8D6F2523BFE5EA7643311D9CF9CC2F45F4A40ECDB4F7043496038BB3D6B270CB697AM1h0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27C5A25CFF72799D33BC7390AE8553BEB033A615CA8D6F2523BFE5EA7643310F9CA1C02F44EAA509D8E2A641M6h8B" TargetMode="External"/><Relationship Id="rId7" Type="http://schemas.openxmlformats.org/officeDocument/2006/relationships/hyperlink" Target="consultantplus://offline/ref=B227C5A25CFF72799D33BC7390AE8553BEB333A21ECE8D6F2523BFE5EA7643311D9CF9CC2F45F4A70BCDB4F7043496038BB3D6B270CB697AM1h0B" TargetMode="External"/><Relationship Id="rId12" Type="http://schemas.openxmlformats.org/officeDocument/2006/relationships/hyperlink" Target="consultantplus://offline/ref=B227C5A25CFF72799D33BC7390AE8553BEB333A21ECE8D6F2523BFE5EA7643311D9CF9CC2F45F4A70BCDB4F7043496038BB3D6B270CB697AM1h0B" TargetMode="External"/><Relationship Id="rId17" Type="http://schemas.openxmlformats.org/officeDocument/2006/relationships/hyperlink" Target="consultantplus://offline/ref=B227C5A25CFF72799D33BC7390AE8553BEB131AA13CB8D6F2523BFE5EA7643310F9CA1C02F44EAA509D8E2A641M6h8B" TargetMode="External"/><Relationship Id="rId25" Type="http://schemas.openxmlformats.org/officeDocument/2006/relationships/hyperlink" Target="consultantplus://offline/ref=B227C5A25CFF72799D33BC7390AE8553BFB832A514CF8D6F2523BFE5EA7643311D9CF9CC2F45F4A40ECDB4F7043496038BB3D6B270CB697AM1h0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27C5A25CFF72799D33BC7390AE8553BEB131AA12CD8D6F2523BFE5EA7643310F9CA1C02F44EAA509D8E2A641M6h8B" TargetMode="External"/><Relationship Id="rId20" Type="http://schemas.openxmlformats.org/officeDocument/2006/relationships/hyperlink" Target="consultantplus://offline/ref=B227C5A25CFF72799D33BC7390AE8553BEB132A415CF8D6F2523BFE5EA7643310F9CA1C02F44EAA509D8E2A641M6h8B" TargetMode="External"/><Relationship Id="rId29" Type="http://schemas.openxmlformats.org/officeDocument/2006/relationships/hyperlink" Target="consultantplus://offline/ref=B227C5A25CFF72799D33BC7390AE8553BFB333A417C28D6F2523BFE5EA7643311D9CF9CC2F45F4A40CCDB4F7043496038BB3D6B270CB697AM1h0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27C5A25CFF72799D33BC7390AE8553BEB333A711CF8D6F2523BFE5EA7643311D9CF9CC2F44F5A509CDB4F7043496038BB3D6B270CB697AM1h0B" TargetMode="External"/><Relationship Id="rId11" Type="http://schemas.openxmlformats.org/officeDocument/2006/relationships/hyperlink" Target="consultantplus://offline/ref=B227C5A25CFF72799D33BC7390AE8553BEB131AA13CB8D6F2523BFE5EA7643310F9CA1C02F44EAA509D8E2A641M6h8B" TargetMode="External"/><Relationship Id="rId24" Type="http://schemas.openxmlformats.org/officeDocument/2006/relationships/hyperlink" Target="consultantplus://offline/ref=B227C5A25CFF72799D33BC7390AE8553BEB333A21ECE8D6F2523BFE5EA7643311D9CF9CC2F45F4A70BCDB4F7043496038BB3D6B270CB697AM1h0B" TargetMode="External"/><Relationship Id="rId5" Type="http://schemas.openxmlformats.org/officeDocument/2006/relationships/hyperlink" Target="consultantplus://offline/ref=B227C5A25CFF72799D33A27E86C2D95BBCBA6FAF17CD83387071B2EFBF2E1C685FDBF0C67B06B0A80FC6E0A748619057DBE983B86EC8777B1E73DE7A68MBh6B" TargetMode="External"/><Relationship Id="rId15" Type="http://schemas.openxmlformats.org/officeDocument/2006/relationships/hyperlink" Target="consultantplus://offline/ref=B227C5A25CFF72799D33BC7390AE8553B4B438A515C0D0652D7AB3E7ED791C341A8DF9CD2E5BF4A210C4E0A7M4h9B" TargetMode="External"/><Relationship Id="rId23" Type="http://schemas.openxmlformats.org/officeDocument/2006/relationships/hyperlink" Target="consultantplus://offline/ref=B227C5A25CFF72799D33BC7390AE8553BEB132A415CF8D6F2523BFE5EA7643310F9CA1C02F44EAA509D8E2A641M6h8B" TargetMode="External"/><Relationship Id="rId28" Type="http://schemas.openxmlformats.org/officeDocument/2006/relationships/hyperlink" Target="consultantplus://offline/ref=B227C5A25CFF72799D33BC7390AE8553BFB333A417C28D6F2523BFE5EA7643311D9CF9CC2F45F4A40CCDB4F7043496038BB3D6B270CB697AM1h0B" TargetMode="External"/><Relationship Id="rId10" Type="http://schemas.openxmlformats.org/officeDocument/2006/relationships/hyperlink" Target="consultantplus://offline/ref=B227C5A25CFF72799D33BC7390AE8553BEB131AA12CD8D6F2523BFE5EA7643310F9CA1C02F44EAA509D8E2A641M6h8B" TargetMode="External"/><Relationship Id="rId19" Type="http://schemas.openxmlformats.org/officeDocument/2006/relationships/hyperlink" Target="consultantplus://offline/ref=B227C5A25CFF72799D33BC7390AE8553BFB833A41FC38D6F2523BFE5EA7643310F9CA1C02F44EAA509D8E2A641M6h8B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27C5A25CFF72799D33BC7390AE8553B4B438A515C0D0652D7AB3E7ED791C341A8DF9CD2E5BF4A210C4E0A7M4h9B" TargetMode="External"/><Relationship Id="rId14" Type="http://schemas.openxmlformats.org/officeDocument/2006/relationships/hyperlink" Target="consultantplus://offline/ref=B227C5A25CFF72799D33BC7390AE8553BEB131AA12CD8D6F2523BFE5EA7643310F9CA1C02F44EAA509D8E2A641M6h8B" TargetMode="External"/><Relationship Id="rId22" Type="http://schemas.openxmlformats.org/officeDocument/2006/relationships/hyperlink" Target="consultantplus://offline/ref=B227C5A25CFF72799D33BC7390AE8553BEB131AA13CE8D6F2523BFE5EA7643310F9CA1C02F44EAA509D8E2A641M6h8B" TargetMode="External"/><Relationship Id="rId27" Type="http://schemas.openxmlformats.org/officeDocument/2006/relationships/hyperlink" Target="consultantplus://offline/ref=B227C5A25CFF72799D33BC7390AE8553BEB034A615CB8D6F2523BFE5EA7643311D9CF9CC2F45F4A507CDB4F7043496038BB3D6B270CB697AM1h0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7837</Words>
  <Characters>44674</Characters>
  <Application>Microsoft Office Word</Application>
  <DocSecurity>0</DocSecurity>
  <Lines>372</Lines>
  <Paragraphs>104</Paragraphs>
  <ScaleCrop>false</ScaleCrop>
  <Company/>
  <LinksUpToDate>false</LinksUpToDate>
  <CharactersWithSpaces>52407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2019-07-01T02:04:00Z</dcterms:created>
  <dcterms:modified xsi:type="dcterms:W3CDTF">2019-07-01T02:04:00Z</dcterms:modified>
</cp:coreProperties>
</file>