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44" w:rsidRDefault="00480D44" w:rsidP="00480D44">
      <w:pPr>
        <w:pStyle w:val="ConsPlusNormal"/>
        <w:jc w:val="right"/>
        <w:outlineLvl w:val="0"/>
      </w:pPr>
      <w:r>
        <w:t>Приложение 3</w:t>
      </w:r>
    </w:p>
    <w:p w:rsidR="00480D44" w:rsidRDefault="00480D44" w:rsidP="00480D44">
      <w:pPr>
        <w:pStyle w:val="ConsPlusNormal"/>
        <w:jc w:val="right"/>
      </w:pPr>
      <w:r>
        <w:t>к Закону Забайкальского края</w:t>
      </w:r>
    </w:p>
    <w:p w:rsidR="00480D44" w:rsidRDefault="00480D44" w:rsidP="00480D44">
      <w:pPr>
        <w:pStyle w:val="ConsPlusNormal"/>
        <w:jc w:val="right"/>
      </w:pPr>
      <w:r>
        <w:t>"О бюджете Забайкальского края на 2023 год</w:t>
      </w:r>
    </w:p>
    <w:p w:rsidR="00480D44" w:rsidRDefault="00480D44" w:rsidP="00480D44">
      <w:pPr>
        <w:pStyle w:val="ConsPlusNormal"/>
        <w:jc w:val="right"/>
      </w:pPr>
      <w:r>
        <w:t>и плановый период 2024 и 2025 годов"</w:t>
      </w:r>
    </w:p>
    <w:p w:rsidR="00480D44" w:rsidRDefault="00480D44" w:rsidP="00480D44">
      <w:pPr>
        <w:pStyle w:val="ConsPlusNormal"/>
        <w:jc w:val="both"/>
      </w:pPr>
    </w:p>
    <w:p w:rsidR="00480D44" w:rsidRDefault="00480D44" w:rsidP="00480D44">
      <w:pPr>
        <w:pStyle w:val="ConsPlusTitle"/>
        <w:jc w:val="center"/>
      </w:pPr>
      <w:bookmarkStart w:id="0" w:name="P695"/>
      <w:bookmarkEnd w:id="0"/>
      <w:r>
        <w:t>НОРМАТИВЫ</w:t>
      </w:r>
    </w:p>
    <w:p w:rsidR="00480D44" w:rsidRDefault="00480D44" w:rsidP="00480D44">
      <w:pPr>
        <w:pStyle w:val="ConsPlusTitle"/>
        <w:jc w:val="center"/>
      </w:pPr>
      <w:r>
        <w:t>РАСПРЕДЕЛЕНИЯ ДОХОДОВ МЕЖДУ БЮДЖЕТОМ КРАЯ, БЮДЖЕТОМ</w:t>
      </w:r>
    </w:p>
    <w:p w:rsidR="00480D44" w:rsidRDefault="00480D44" w:rsidP="00480D44">
      <w:pPr>
        <w:pStyle w:val="ConsPlusTitle"/>
        <w:jc w:val="center"/>
      </w:pPr>
      <w:r>
        <w:t>ТЕРРИТОРИАЛЬНОГО ФОНДА ОБЯЗАТЕЛЬНОГО МЕДИЦИНСКОГО</w:t>
      </w:r>
    </w:p>
    <w:p w:rsidR="00480D44" w:rsidRDefault="00480D44" w:rsidP="00480D44">
      <w:pPr>
        <w:pStyle w:val="ConsPlusTitle"/>
        <w:jc w:val="center"/>
      </w:pPr>
      <w:r>
        <w:t>СТРАХОВАНИЯ ЗАБАЙКАЛЬСКОГО КРАЯ, БЮДЖЕТАМИ МУНИЦИПАЛЬНЫХ</w:t>
      </w:r>
    </w:p>
    <w:p w:rsidR="00480D44" w:rsidRDefault="00480D44" w:rsidP="00480D44">
      <w:pPr>
        <w:pStyle w:val="ConsPlusTitle"/>
        <w:jc w:val="center"/>
      </w:pPr>
      <w:r>
        <w:t>ОБРАЗОВАНИЙ ЗАБАЙКАЛЬСКОГО КРАЯ НА 2023 ГОД И ПЛАНОВЫЙ</w:t>
      </w:r>
    </w:p>
    <w:p w:rsidR="00480D44" w:rsidRDefault="00480D44" w:rsidP="00480D44">
      <w:pPr>
        <w:pStyle w:val="ConsPlusTitle"/>
        <w:jc w:val="center"/>
      </w:pPr>
      <w:r>
        <w:t>ПЕРИОД 2024 И 2025 ГОДОВ</w:t>
      </w:r>
    </w:p>
    <w:p w:rsidR="00480D44" w:rsidRDefault="00480D44" w:rsidP="00480D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919"/>
        <w:gridCol w:w="1789"/>
        <w:gridCol w:w="1789"/>
        <w:gridCol w:w="1144"/>
        <w:gridCol w:w="1219"/>
        <w:gridCol w:w="1219"/>
        <w:gridCol w:w="1984"/>
      </w:tblGrid>
      <w:tr w:rsidR="00480D44" w:rsidTr="00E00E46">
        <w:tc>
          <w:tcPr>
            <w:tcW w:w="3628" w:type="dxa"/>
            <w:vMerge w:val="restart"/>
            <w:vAlign w:val="center"/>
          </w:tcPr>
          <w:p w:rsidR="00480D44" w:rsidRDefault="00480D44" w:rsidP="00E00E46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0063" w:type="dxa"/>
            <w:gridSpan w:val="7"/>
            <w:vAlign w:val="center"/>
          </w:tcPr>
          <w:p w:rsidR="00480D44" w:rsidRDefault="00480D44" w:rsidP="00E00E46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480D44" w:rsidTr="00E00E46">
        <w:tc>
          <w:tcPr>
            <w:tcW w:w="3628" w:type="dxa"/>
            <w:vMerge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919" w:type="dxa"/>
            <w:vAlign w:val="center"/>
          </w:tcPr>
          <w:p w:rsidR="00480D44" w:rsidRDefault="00480D44" w:rsidP="00E00E46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789" w:type="dxa"/>
            <w:vAlign w:val="center"/>
          </w:tcPr>
          <w:p w:rsidR="00480D44" w:rsidRDefault="00480D44" w:rsidP="00E00E46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789" w:type="dxa"/>
            <w:vAlign w:val="center"/>
          </w:tcPr>
          <w:p w:rsidR="00480D44" w:rsidRDefault="00480D44" w:rsidP="00E00E46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144" w:type="dxa"/>
            <w:vAlign w:val="center"/>
          </w:tcPr>
          <w:p w:rsidR="00480D44" w:rsidRDefault="00480D44" w:rsidP="00E00E46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219" w:type="dxa"/>
            <w:vAlign w:val="center"/>
          </w:tcPr>
          <w:p w:rsidR="00480D44" w:rsidRDefault="00480D44" w:rsidP="00E00E46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219" w:type="dxa"/>
            <w:vAlign w:val="center"/>
          </w:tcPr>
          <w:p w:rsidR="00480D44" w:rsidRDefault="00480D44" w:rsidP="00E00E46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984" w:type="dxa"/>
            <w:vAlign w:val="center"/>
          </w:tcPr>
          <w:p w:rsidR="00480D44" w:rsidRDefault="00480D44" w:rsidP="00E00E46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8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</w:pPr>
            <w:r>
              <w:t>Доходы от федеральных налогов и сборов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Доходы от уплаты акцизов на алкогольную продукцию с объемной долей этилового спирта свыше 9 процентов, за исключением пива, </w:t>
            </w:r>
            <w:r>
              <w:lastRenderedPageBreak/>
              <w:t>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виноградосодержащих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вина, подлежащие распределению в бюджеты субъектов Российской Федерации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</w:t>
            </w:r>
            <w:r>
              <w:lastRenderedPageBreak/>
              <w:t>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21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221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221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Налог на прибыль организаций, зачислявшийся до 1 января 2005 года в местные бюджеты, мобилизуемый на территориях </w:t>
            </w:r>
            <w:r>
              <w:lastRenderedPageBreak/>
              <w:t>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Земельный налог (по </w:t>
            </w:r>
            <w:r>
              <w:lastRenderedPageBreak/>
              <w:t>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Курортный сбор, мобилизуемый на территориях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Доходы от размещения временно </w:t>
            </w:r>
            <w:r>
              <w:lastRenderedPageBreak/>
              <w:t>свободных средств бюджетов сельских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Доходы, полученные от продажи на аукционе права на заключение </w:t>
            </w:r>
            <w:r>
              <w:lastRenderedPageBreak/>
              <w:t>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Доходы от оказания информационных услуг органами местного самоуправления сельских </w:t>
            </w:r>
            <w:r>
              <w:lastRenderedPageBreak/>
              <w:t>поселений, казенными учреждениями сельских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Плата за оказание услуг по присоединению объектов </w:t>
            </w:r>
            <w:r>
              <w:lastRenderedPageBreak/>
              <w:t>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Прочие доходы бюджетов </w:t>
            </w:r>
            <w:r>
              <w:lastRenderedPageBreak/>
              <w:t>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Доходы, поступающие в порядке возмещения расходов, понесенных в связи с эксплуатацией государственного имущества, закрепленного на праве </w:t>
            </w:r>
            <w:r>
              <w:lastRenderedPageBreak/>
              <w:t>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территориальных </w:t>
            </w:r>
            <w:r>
              <w:lastRenderedPageBreak/>
              <w:t>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Доходы от продажи нематериальных активов, находящихся в государственной собственности, закрепленных за территориальными фондами </w:t>
            </w:r>
            <w:r>
              <w:lastRenderedPageBreak/>
              <w:t>обязательного медицинского страхования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Доходы от административных платежей и сборов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Доходы от штрафов, санкций, возмещений ущерба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Штрафы, неустойки, пени, </w:t>
            </w:r>
            <w:r>
              <w:lastRenderedPageBreak/>
              <w:t>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lastRenderedPageBreak/>
              <w:t>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Иные штрафы, неустойки, пени, </w:t>
            </w:r>
            <w:r>
              <w:lastRenderedPageBreak/>
              <w:t>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</w:t>
            </w:r>
            <w:r>
              <w:lastRenderedPageBreak/>
              <w:t>(автономными) учреждениями, унитарными предприятиями субъекта Российской Федерации)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Прочее возмещение ущерба, </w:t>
            </w:r>
            <w:r>
              <w:lastRenderedPageBreak/>
              <w:t>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</w:t>
            </w:r>
            <w:r>
              <w:lastRenderedPageBreak/>
              <w:t>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</w:t>
            </w:r>
            <w:r>
              <w:lastRenderedPageBreak/>
              <w:t>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>
              <w:lastRenderedPageBreak/>
              <w:t>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</w:t>
            </w:r>
            <w:r>
              <w:lastRenderedPageBreak/>
              <w:t>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</w:t>
            </w:r>
            <w:r>
              <w:lastRenderedPageBreak/>
              <w:t>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</w:t>
            </w:r>
            <w:r>
              <w:lastRenderedPageBreak/>
              <w:t>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Платежи в целях возмещения ущерба при расторжении </w:t>
            </w:r>
            <w:r>
              <w:lastRenderedPageBreak/>
              <w:t>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</w:t>
            </w:r>
            <w:r>
              <w:lastRenderedPageBreak/>
              <w:t>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</w:t>
            </w:r>
            <w:r>
              <w:lastRenderedPageBreak/>
              <w:t>исполнения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муниципальных районов)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Прочее возмещение ущерба, причиненного государственному имуществу, находящемуся во </w:t>
            </w:r>
            <w:r>
              <w:lastRenderedPageBreak/>
              <w:t>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городских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</w:t>
            </w:r>
            <w:r>
              <w:lastRenderedPageBreak/>
              <w:t>возникшим до 1 января 2008 года)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lastRenderedPageBreak/>
              <w:t>Инициативные платежи, зачисляемые в бюджеты муниципальных округов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  <w:tr w:rsidR="00480D44" w:rsidTr="00E00E46">
        <w:tc>
          <w:tcPr>
            <w:tcW w:w="3628" w:type="dxa"/>
          </w:tcPr>
          <w:p w:rsidR="00480D44" w:rsidRDefault="00480D44" w:rsidP="00E00E46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919" w:type="dxa"/>
          </w:tcPr>
          <w:p w:rsidR="00480D44" w:rsidRDefault="00480D44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78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144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219" w:type="dxa"/>
          </w:tcPr>
          <w:p w:rsidR="00480D44" w:rsidRDefault="00480D44" w:rsidP="00E00E46">
            <w:pPr>
              <w:pStyle w:val="ConsPlusNormal"/>
            </w:pPr>
          </w:p>
        </w:tc>
        <w:tc>
          <w:tcPr>
            <w:tcW w:w="1984" w:type="dxa"/>
          </w:tcPr>
          <w:p w:rsidR="00480D44" w:rsidRDefault="00480D44" w:rsidP="00E00E46">
            <w:pPr>
              <w:pStyle w:val="ConsPlusNormal"/>
            </w:pPr>
          </w:p>
        </w:tc>
      </w:tr>
    </w:tbl>
    <w:p w:rsidR="00480D44" w:rsidRDefault="00480D44" w:rsidP="00480D44">
      <w:pPr>
        <w:pStyle w:val="ConsPlusNormal"/>
        <w:sectPr w:rsidR="00480D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80D44" w:rsidRDefault="00480D44" w:rsidP="00480D44">
      <w:pPr>
        <w:pStyle w:val="ConsPlusNormal"/>
        <w:jc w:val="both"/>
      </w:pPr>
    </w:p>
    <w:p w:rsidR="00480D44" w:rsidRDefault="00480D44" w:rsidP="00480D44">
      <w:pPr>
        <w:pStyle w:val="ConsPlusNormal"/>
        <w:ind w:firstLine="540"/>
        <w:jc w:val="both"/>
      </w:pPr>
      <w:r>
        <w:t>--------------------------------</w:t>
      </w:r>
    </w:p>
    <w:p w:rsidR="00480D44" w:rsidRDefault="00480D44" w:rsidP="00480D44">
      <w:pPr>
        <w:pStyle w:val="ConsPlusNormal"/>
        <w:spacing w:before="220"/>
        <w:ind w:firstLine="540"/>
        <w:jc w:val="both"/>
      </w:pPr>
      <w:bookmarkStart w:id="1" w:name="P2217"/>
      <w:bookmarkEnd w:id="1"/>
      <w:r>
        <w:t>&lt;1&gt; При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</w:t>
      </w:r>
    </w:p>
    <w:p w:rsidR="00480D44" w:rsidRDefault="00480D44" w:rsidP="00480D44">
      <w:pPr>
        <w:pStyle w:val="ConsPlusNormal"/>
        <w:spacing w:before="220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480D44" w:rsidRDefault="00480D44" w:rsidP="00480D44">
      <w:pPr>
        <w:pStyle w:val="ConsPlusNormal"/>
        <w:jc w:val="both"/>
      </w:pPr>
    </w:p>
    <w:p w:rsidR="00480D44" w:rsidRDefault="00480D44" w:rsidP="00480D44">
      <w:pPr>
        <w:pStyle w:val="ConsPlusNormal"/>
        <w:jc w:val="both"/>
      </w:pPr>
    </w:p>
    <w:p w:rsidR="00480D44" w:rsidRDefault="00480D44" w:rsidP="00480D44">
      <w:pPr>
        <w:pStyle w:val="ConsPlusNormal"/>
        <w:jc w:val="both"/>
      </w:pPr>
    </w:p>
    <w:p w:rsidR="00480D44" w:rsidRDefault="00480D44" w:rsidP="00480D44">
      <w:pPr>
        <w:pStyle w:val="ConsPlusNormal"/>
        <w:jc w:val="both"/>
      </w:pPr>
    </w:p>
    <w:p w:rsidR="00480D44" w:rsidRDefault="00480D44" w:rsidP="00480D44">
      <w:pPr>
        <w:pStyle w:val="ConsPlusNormal"/>
        <w:jc w:val="both"/>
      </w:pPr>
    </w:p>
    <w:p w:rsidR="00C75888" w:rsidRDefault="00C75888">
      <w:bookmarkStart w:id="2" w:name="_GoBack"/>
      <w:bookmarkEnd w:id="2"/>
    </w:p>
    <w:sectPr w:rsidR="00C7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44"/>
    <w:rsid w:val="00480D44"/>
    <w:rsid w:val="00C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0D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0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80D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0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80D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0D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0D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0D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0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80D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0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80D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0D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0D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5176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2023-12-07T01:14:00Z</dcterms:created>
  <dcterms:modified xsi:type="dcterms:W3CDTF">2023-12-07T01:14:00Z</dcterms:modified>
</cp:coreProperties>
</file>