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F7" w:rsidRDefault="00EC09F7" w:rsidP="00EC09F7">
      <w:pPr>
        <w:pStyle w:val="ConsPlusNormal"/>
        <w:jc w:val="right"/>
        <w:outlineLvl w:val="0"/>
      </w:pPr>
      <w:r>
        <w:t>Приложение 18</w:t>
      </w:r>
    </w:p>
    <w:p w:rsidR="00EC09F7" w:rsidRDefault="00EC09F7" w:rsidP="00EC09F7">
      <w:pPr>
        <w:pStyle w:val="ConsPlusNormal"/>
        <w:jc w:val="right"/>
      </w:pPr>
      <w:r>
        <w:t>к Закону Забайкальского края</w:t>
      </w:r>
    </w:p>
    <w:p w:rsidR="00EC09F7" w:rsidRDefault="00EC09F7" w:rsidP="00EC09F7">
      <w:pPr>
        <w:pStyle w:val="ConsPlusNormal"/>
        <w:jc w:val="right"/>
      </w:pPr>
      <w:r>
        <w:t>"О бюджете Забайкальского края на 2023 год</w:t>
      </w:r>
    </w:p>
    <w:p w:rsidR="00EC09F7" w:rsidRDefault="00EC09F7" w:rsidP="00EC09F7">
      <w:pPr>
        <w:pStyle w:val="ConsPlusNormal"/>
        <w:jc w:val="right"/>
      </w:pPr>
      <w:r>
        <w:t>и плановый период 2024 и 2025 годов"</w:t>
      </w:r>
    </w:p>
    <w:p w:rsidR="00EC09F7" w:rsidRDefault="00EC09F7" w:rsidP="00EC09F7">
      <w:pPr>
        <w:pStyle w:val="ConsPlusNormal"/>
      </w:pPr>
    </w:p>
    <w:p w:rsidR="00EC09F7" w:rsidRDefault="00EC09F7" w:rsidP="00EC09F7">
      <w:pPr>
        <w:pStyle w:val="ConsPlusTitle"/>
        <w:jc w:val="center"/>
      </w:pPr>
      <w:bookmarkStart w:id="0" w:name="P102928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EC09F7" w:rsidRDefault="00EC09F7" w:rsidP="00EC09F7">
      <w:pPr>
        <w:pStyle w:val="ConsPlusTitle"/>
        <w:jc w:val="center"/>
      </w:pPr>
      <w:r>
        <w:t>ПОДДЕРЖКУ СЕМЬИ И ДЕТЕЙ, НА 2023 ГОД</w:t>
      </w:r>
    </w:p>
    <w:p w:rsidR="00EC09F7" w:rsidRDefault="00EC09F7" w:rsidP="00EC09F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0"/>
        <w:gridCol w:w="6066"/>
        <w:gridCol w:w="2038"/>
      </w:tblGrid>
      <w:tr w:rsidR="00EC09F7" w:rsidRPr="00F2727A" w:rsidTr="003A570A">
        <w:tc>
          <w:tcPr>
            <w:tcW w:w="690" w:type="dxa"/>
            <w:vAlign w:val="center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2727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2727A">
              <w:rPr>
                <w:sz w:val="24"/>
                <w:szCs w:val="24"/>
              </w:rPr>
              <w:t>/</w:t>
            </w:r>
            <w:proofErr w:type="spellStart"/>
            <w:r w:rsidRPr="00F2727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66" w:type="dxa"/>
            <w:vAlign w:val="center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038" w:type="dxa"/>
            <w:vAlign w:val="center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Сумма</w:t>
            </w:r>
          </w:p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(тыс. рублей)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2</w:t>
            </w:r>
          </w:p>
        </w:tc>
        <w:tc>
          <w:tcPr>
            <w:tcW w:w="2038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3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Всего по краю,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8 471 792,2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в том числе:</w:t>
            </w:r>
          </w:p>
        </w:tc>
        <w:tc>
          <w:tcPr>
            <w:tcW w:w="2038" w:type="dxa"/>
          </w:tcPr>
          <w:p w:rsidR="00EC09F7" w:rsidRPr="00F2727A" w:rsidRDefault="00EC09F7" w:rsidP="003A57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119,9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2.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F2727A">
              <w:rPr>
                <w:sz w:val="24"/>
                <w:szCs w:val="24"/>
              </w:rPr>
              <w:t>невзимания</w:t>
            </w:r>
            <w:proofErr w:type="spellEnd"/>
            <w:r w:rsidRPr="00F2727A">
              <w:rPr>
                <w:sz w:val="24"/>
                <w:szCs w:val="24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26 980,5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3.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5 - 11 классах в муниципальных общеобразовательных организациях Забайкальского края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18 638,9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4.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74 213,6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5.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143 760,9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6.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Обеспечение льготным питанием отдельных категорий обучающихся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2 280,5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7.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132 960,0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8.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 xml:space="preserve">Обеспечение проведения капитального ремонта жилых помещений, нуждающихся в капитальном ремонте и </w:t>
            </w:r>
            <w:r w:rsidRPr="00F2727A">
              <w:rPr>
                <w:sz w:val="24"/>
                <w:szCs w:val="24"/>
              </w:rPr>
              <w:lastRenderedPageBreak/>
              <w:t>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lastRenderedPageBreak/>
              <w:t>316,3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168 415,0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10.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51 032,8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11.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781 846,8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12.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1 660 565,5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13.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2 639 252,6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14.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165,4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15.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50,0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16.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Предоставление ежемесячной денежной выплаты многодетным семьям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132 794,2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17.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449 926,8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18.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29 150,0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19.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 xml:space="preserve">Предоставление компенсации затрат родителей (законных представителей) детей-инвалидов на обучение </w:t>
            </w:r>
            <w:r w:rsidRPr="00F2727A">
              <w:rPr>
                <w:sz w:val="24"/>
                <w:szCs w:val="24"/>
              </w:rPr>
              <w:lastRenderedPageBreak/>
              <w:t>по основным общеобразовательным программам на дому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lastRenderedPageBreak/>
              <w:t>9 534,9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41 045,5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21.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1 054,8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22.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500,0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23.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Предоставление пособия на ребенка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62 944,4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24.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6 390,0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25.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554 847,3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26.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112 184,9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27.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 xml:space="preserve">Субвенции бюджету Фонда пенсионного и социального страхования Российской Федерации </w:t>
            </w:r>
            <w:proofErr w:type="gramStart"/>
            <w:r w:rsidRPr="00F2727A">
              <w:rPr>
                <w:sz w:val="24"/>
                <w:szCs w:val="24"/>
              </w:rPr>
              <w:t>на осуществление ежемесячной денежной выплаты на ребенка в возрасте от восьми до семнадцати лет</w:t>
            </w:r>
            <w:proofErr w:type="gramEnd"/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606 311,0</w:t>
            </w:r>
          </w:p>
        </w:tc>
      </w:tr>
      <w:tr w:rsidR="00EC09F7" w:rsidRPr="00F2727A" w:rsidTr="003A570A">
        <w:tc>
          <w:tcPr>
            <w:tcW w:w="690" w:type="dxa"/>
          </w:tcPr>
          <w:p w:rsidR="00EC09F7" w:rsidRPr="00F2727A" w:rsidRDefault="00EC09F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28.</w:t>
            </w:r>
          </w:p>
        </w:tc>
        <w:tc>
          <w:tcPr>
            <w:tcW w:w="6066" w:type="dxa"/>
          </w:tcPr>
          <w:p w:rsidR="00EC09F7" w:rsidRPr="00F2727A" w:rsidRDefault="00EC09F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2038" w:type="dxa"/>
            <w:vAlign w:val="bottom"/>
          </w:tcPr>
          <w:p w:rsidR="00EC09F7" w:rsidRPr="00F2727A" w:rsidRDefault="00EC09F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F2727A">
              <w:rPr>
                <w:sz w:val="24"/>
                <w:szCs w:val="24"/>
              </w:rPr>
              <w:t>764 509,7</w:t>
            </w:r>
          </w:p>
        </w:tc>
      </w:tr>
    </w:tbl>
    <w:p w:rsidR="00EC09F7" w:rsidRDefault="00EC09F7" w:rsidP="00EC09F7">
      <w:pPr>
        <w:pStyle w:val="ConsPlusNormal"/>
      </w:pPr>
    </w:p>
    <w:p w:rsidR="00EC09F7" w:rsidRDefault="00EC09F7" w:rsidP="00EC09F7">
      <w:pPr>
        <w:pStyle w:val="ConsPlusNormal"/>
      </w:pPr>
    </w:p>
    <w:p w:rsidR="00EC09F7" w:rsidRDefault="00EC09F7" w:rsidP="00EC09F7">
      <w:pPr>
        <w:pStyle w:val="ConsPlusNormal"/>
      </w:pPr>
    </w:p>
    <w:p w:rsidR="00EC09F7" w:rsidRDefault="00EC09F7" w:rsidP="00EC09F7">
      <w:pPr>
        <w:pStyle w:val="ConsPlusNormal"/>
      </w:pPr>
    </w:p>
    <w:p w:rsidR="00EC09F7" w:rsidRDefault="00EC09F7" w:rsidP="00EC09F7">
      <w:pPr>
        <w:pStyle w:val="ConsPlusNormal"/>
      </w:pPr>
    </w:p>
    <w:p w:rsidR="004C7BFD" w:rsidRPr="00EC09F7" w:rsidRDefault="004C7BFD" w:rsidP="00EC09F7"/>
    <w:sectPr w:rsidR="004C7BFD" w:rsidRPr="00EC09F7" w:rsidSect="00EC09F7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C34D0"/>
    <w:rsid w:val="00045D2C"/>
    <w:rsid w:val="0004796F"/>
    <w:rsid w:val="001953BC"/>
    <w:rsid w:val="002A21A1"/>
    <w:rsid w:val="003F6564"/>
    <w:rsid w:val="003F6B72"/>
    <w:rsid w:val="0044375E"/>
    <w:rsid w:val="004C7BFD"/>
    <w:rsid w:val="004D5AD2"/>
    <w:rsid w:val="005A190F"/>
    <w:rsid w:val="0069024E"/>
    <w:rsid w:val="007B6428"/>
    <w:rsid w:val="00811CDA"/>
    <w:rsid w:val="009443F2"/>
    <w:rsid w:val="00947880"/>
    <w:rsid w:val="00BC34D0"/>
    <w:rsid w:val="00C4669F"/>
    <w:rsid w:val="00CC4A27"/>
    <w:rsid w:val="00D779CC"/>
    <w:rsid w:val="00EC09F7"/>
    <w:rsid w:val="00F2727A"/>
    <w:rsid w:val="00F3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9F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34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4509</Characters>
  <Application>Microsoft Office Word</Application>
  <DocSecurity>0</DocSecurity>
  <Lines>37</Lines>
  <Paragraphs>10</Paragraphs>
  <ScaleCrop>false</ScaleCrop>
  <Company>Home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4</cp:revision>
  <dcterms:created xsi:type="dcterms:W3CDTF">2023-03-29T06:32:00Z</dcterms:created>
  <dcterms:modified xsi:type="dcterms:W3CDTF">2023-03-29T08:17:00Z</dcterms:modified>
</cp:coreProperties>
</file>