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F45" w:rsidRDefault="00104F45" w:rsidP="00104F45">
      <w:pPr>
        <w:pStyle w:val="ConsPlusNormal"/>
        <w:jc w:val="right"/>
        <w:outlineLvl w:val="0"/>
      </w:pPr>
      <w:r>
        <w:t>Приложение 21</w:t>
      </w:r>
    </w:p>
    <w:p w:rsidR="00104F45" w:rsidRDefault="00104F45" w:rsidP="00104F45">
      <w:pPr>
        <w:pStyle w:val="ConsPlusNormal"/>
        <w:jc w:val="right"/>
      </w:pPr>
      <w:r>
        <w:t>к Закону Забайкальского края</w:t>
      </w:r>
    </w:p>
    <w:p w:rsidR="00104F45" w:rsidRDefault="00104F45" w:rsidP="00104F45">
      <w:pPr>
        <w:pStyle w:val="ConsPlusNormal"/>
        <w:jc w:val="right"/>
      </w:pPr>
      <w:r>
        <w:t>"О бюджете Забайкальского края</w:t>
      </w:r>
    </w:p>
    <w:p w:rsidR="00104F45" w:rsidRDefault="00104F45" w:rsidP="00104F45">
      <w:pPr>
        <w:pStyle w:val="ConsPlusNormal"/>
        <w:jc w:val="right"/>
      </w:pPr>
      <w:r>
        <w:t>на 2022 год и плановый период</w:t>
      </w:r>
    </w:p>
    <w:p w:rsidR="00104F45" w:rsidRDefault="00104F45" w:rsidP="00104F45">
      <w:pPr>
        <w:pStyle w:val="ConsPlusNormal"/>
        <w:jc w:val="right"/>
      </w:pPr>
      <w:r>
        <w:t>2023 и 2024 годов"</w:t>
      </w:r>
    </w:p>
    <w:p w:rsidR="00104F45" w:rsidRDefault="00104F45" w:rsidP="00104F45">
      <w:pPr>
        <w:pStyle w:val="ConsPlusNormal"/>
        <w:jc w:val="both"/>
      </w:pPr>
    </w:p>
    <w:p w:rsidR="00104F45" w:rsidRDefault="00104F45" w:rsidP="00104F45">
      <w:pPr>
        <w:pStyle w:val="ConsPlusNormal"/>
        <w:jc w:val="center"/>
        <w:rPr>
          <w:b/>
          <w:bCs/>
        </w:rPr>
      </w:pPr>
      <w:bookmarkStart w:id="0" w:name="Par107846"/>
      <w:bookmarkEnd w:id="0"/>
      <w:r>
        <w:rPr>
          <w:b/>
          <w:bCs/>
        </w:rPr>
        <w:t>БЮДЖЕТНЫЕ АССИГНОВАНИЯ НА ОСУЩЕСТВЛЕНИЕ БЮДЖЕТНЫХ ИНВЕСТИЦИЙ</w:t>
      </w:r>
    </w:p>
    <w:p w:rsidR="00104F45" w:rsidRDefault="00104F45" w:rsidP="00104F45">
      <w:pPr>
        <w:pStyle w:val="ConsPlusNormal"/>
        <w:jc w:val="center"/>
        <w:rPr>
          <w:b/>
          <w:bCs/>
        </w:rPr>
      </w:pPr>
      <w:r>
        <w:rPr>
          <w:b/>
          <w:bCs/>
        </w:rPr>
        <w:t>В ОБЪЕКТЫ ГОСУДАРСТВЕННОЙ СОБСТВЕННОСТИ ЗАБАЙКАЛЬСКОГО КРАЯ</w:t>
      </w:r>
    </w:p>
    <w:p w:rsidR="00104F45" w:rsidRDefault="00104F45" w:rsidP="00104F45">
      <w:pPr>
        <w:pStyle w:val="ConsPlusNormal"/>
        <w:jc w:val="center"/>
        <w:rPr>
          <w:b/>
          <w:bCs/>
        </w:rPr>
      </w:pPr>
      <w:r>
        <w:rPr>
          <w:b/>
          <w:bCs/>
        </w:rPr>
        <w:t>НА 2022 ГОД</w:t>
      </w:r>
    </w:p>
    <w:p w:rsidR="00104F45" w:rsidRDefault="00104F45" w:rsidP="00104F45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04F45" w:rsidTr="00AD3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F45" w:rsidRDefault="00104F45" w:rsidP="00AD323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F45" w:rsidRDefault="00104F45" w:rsidP="00AD323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4F45" w:rsidRDefault="00104F45" w:rsidP="00AD323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104F45" w:rsidRDefault="00104F45" w:rsidP="00AD3233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104F45" w:rsidRDefault="00104F45" w:rsidP="00AD323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29.06.2022 N 2075-ЗЗК)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F45" w:rsidRDefault="00104F45" w:rsidP="00AD323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104F45" w:rsidRDefault="00104F45" w:rsidP="00104F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83"/>
        <w:gridCol w:w="1587"/>
        <w:gridCol w:w="1671"/>
        <w:gridCol w:w="1407"/>
      </w:tblGrid>
      <w:tr w:rsidR="00104F45" w:rsidTr="00AD3233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45" w:rsidRDefault="00104F45" w:rsidP="00AD323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45" w:rsidRDefault="00104F45" w:rsidP="00AD3233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45" w:rsidRDefault="00104F45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04F45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5" w:rsidRDefault="00104F45" w:rsidP="00AD3233">
            <w:pPr>
              <w:pStyle w:val="ConsPlusNormal"/>
              <w:jc w:val="center"/>
            </w:pPr>
          </w:p>
        </w:tc>
        <w:tc>
          <w:tcPr>
            <w:tcW w:w="3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5" w:rsidRDefault="00104F45" w:rsidP="00AD3233">
            <w:pPr>
              <w:pStyle w:val="ConsPlusNormal"/>
              <w:jc w:val="center"/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45" w:rsidRDefault="00104F45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45" w:rsidRDefault="00104F45" w:rsidP="00AD323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04F45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5" w:rsidRDefault="00104F45" w:rsidP="00AD3233">
            <w:pPr>
              <w:pStyle w:val="ConsPlusNormal"/>
              <w:jc w:val="center"/>
            </w:pPr>
          </w:p>
        </w:tc>
        <w:tc>
          <w:tcPr>
            <w:tcW w:w="3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5" w:rsidRDefault="00104F45" w:rsidP="00AD3233">
            <w:pPr>
              <w:pStyle w:val="ConsPlusNormal"/>
              <w:jc w:val="center"/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5" w:rsidRDefault="00104F45" w:rsidP="00AD3233">
            <w:pPr>
              <w:pStyle w:val="ConsPlusNormal"/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45" w:rsidRDefault="00104F45" w:rsidP="00AD323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45" w:rsidRDefault="00104F45" w:rsidP="00AD323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04F45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5" w:rsidRDefault="00104F45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5" w:rsidRDefault="00104F45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5" w:rsidRDefault="00104F45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5" w:rsidRDefault="00104F45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5" w:rsidRDefault="00104F45" w:rsidP="00AD3233">
            <w:pPr>
              <w:pStyle w:val="ConsPlusNormal"/>
              <w:jc w:val="center"/>
            </w:pPr>
            <w:r>
              <w:t>5</w:t>
            </w:r>
          </w:p>
        </w:tc>
      </w:tr>
      <w:tr w:rsidR="00104F45" w:rsidTr="00AD3233">
        <w:tc>
          <w:tcPr>
            <w:tcW w:w="575" w:type="dxa"/>
            <w:tcBorders>
              <w:top w:val="single" w:sz="4" w:space="0" w:color="auto"/>
            </w:tcBorders>
          </w:tcPr>
          <w:p w:rsidR="00104F45" w:rsidRDefault="00104F45" w:rsidP="00AD3233">
            <w:pPr>
              <w:pStyle w:val="ConsPlusNormal"/>
            </w:pPr>
          </w:p>
        </w:tc>
        <w:tc>
          <w:tcPr>
            <w:tcW w:w="3983" w:type="dxa"/>
            <w:tcBorders>
              <w:top w:val="single" w:sz="4" w:space="0" w:color="auto"/>
            </w:tcBorders>
          </w:tcPr>
          <w:p w:rsidR="00104F45" w:rsidRDefault="00104F45" w:rsidP="00AD3233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9 687 979,1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7 865 556,9</w:t>
            </w:r>
          </w:p>
        </w:tc>
        <w:tc>
          <w:tcPr>
            <w:tcW w:w="1407" w:type="dxa"/>
            <w:tcBorders>
              <w:top w:val="single" w:sz="4" w:space="0" w:color="auto"/>
            </w:tcBorders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1 822 422,2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</w:pP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</w:pP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</w:pP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</w:pP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 xml:space="preserve">Реконструкция аэропортового комплекса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Чара</w:t>
            </w:r>
            <w:proofErr w:type="gramEnd"/>
            <w:r>
              <w:t xml:space="preserve"> (Забайкальский край)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473 761,0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431 861,0</w:t>
            </w: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41 900,0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 xml:space="preserve">Реконструкция путепровода через железную дорогу и моста через р. Ингода в </w:t>
            </w:r>
            <w:proofErr w:type="spellStart"/>
            <w:r>
              <w:t>пгт</w:t>
            </w:r>
            <w:proofErr w:type="spellEnd"/>
            <w:r>
              <w:t xml:space="preserve">. Дарасун на автомобильной дороге подъезд к </w:t>
            </w:r>
            <w:proofErr w:type="spellStart"/>
            <w:r>
              <w:t>пгт</w:t>
            </w:r>
            <w:proofErr w:type="spellEnd"/>
            <w:r>
              <w:t xml:space="preserve">.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 Забайкальского края (1 этап)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1 620,4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</w:pP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1 620,4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 xml:space="preserve">Реконструкция путепровода через железную дорогу и моста через р. Ингода в </w:t>
            </w:r>
            <w:proofErr w:type="spellStart"/>
            <w:r>
              <w:t>пгт</w:t>
            </w:r>
            <w:proofErr w:type="spellEnd"/>
            <w:r>
              <w:t xml:space="preserve">. Дарасун на автомобильной дороге подъезд к </w:t>
            </w:r>
            <w:proofErr w:type="spellStart"/>
            <w:r>
              <w:t>пгт</w:t>
            </w:r>
            <w:proofErr w:type="spellEnd"/>
            <w:r>
              <w:t xml:space="preserve">.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 Забайкальского края (2, 3 этапы)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301 597,0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294 991,0</w:t>
            </w: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6 606,0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 xml:space="preserve">Реконструкция путепровода через железную дорогу </w:t>
            </w:r>
            <w:proofErr w:type="gramStart"/>
            <w:r>
              <w:t>км</w:t>
            </w:r>
            <w:proofErr w:type="gramEnd"/>
            <w:r>
              <w:t xml:space="preserve"> 10+871 на автомобильной дороге Нерчинск - Шоноктуй в Нерчинском районе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4 206,4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</w:pP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4 206,4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 xml:space="preserve">Строительство путепровода через железную дорогу на км 0+814 автомобильной дороги </w:t>
            </w:r>
            <w:proofErr w:type="spellStart"/>
            <w:r>
              <w:t>Баляга</w:t>
            </w:r>
            <w:proofErr w:type="spellEnd"/>
            <w:r>
              <w:t xml:space="preserve"> - Ямаровка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 Забайкальского края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7 333,1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</w:pP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7 333,1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 xml:space="preserve">Реконструкция моста через р. Шилка </w:t>
            </w:r>
            <w:proofErr w:type="gramStart"/>
            <w:r>
              <w:t>км</w:t>
            </w:r>
            <w:proofErr w:type="gramEnd"/>
            <w:r>
              <w:t xml:space="preserve"> 11+715 на автомобильной дороге 76 ОП РЗ 76К-007 Нерчинск - Шоноктуй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23 143,7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</w:pP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23 143,7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proofErr w:type="spellStart"/>
            <w:r>
              <w:t>Солонечная</w:t>
            </w:r>
            <w:proofErr w:type="spellEnd"/>
            <w:r>
              <w:t xml:space="preserve"> на </w:t>
            </w:r>
            <w:proofErr w:type="gramStart"/>
            <w:r>
              <w:t>км</w:t>
            </w:r>
            <w:proofErr w:type="gramEnd"/>
            <w:r>
              <w:t xml:space="preserve"> 69+173 на автомобильной дороге 76 ОП РЗ 76К-009 Шелопугино - Балей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4 711,7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</w:pP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4 711,7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proofErr w:type="spellStart"/>
            <w:r>
              <w:t>Урулюнгуй</w:t>
            </w:r>
            <w:proofErr w:type="spellEnd"/>
            <w:r>
              <w:t xml:space="preserve"> км 49+648 на автомобильной дороге 76 ОП РЗ 76К-109 </w:t>
            </w:r>
            <w:proofErr w:type="spellStart"/>
            <w:r>
              <w:t>Бырка</w:t>
            </w:r>
            <w:proofErr w:type="spellEnd"/>
            <w:r>
              <w:t xml:space="preserve"> - Досатуй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4 435,3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</w:pP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4 435,3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12 800,0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</w:pP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12 800,0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>Разработка проектной документации объекта "Строительство стационарного пункта весового контроля с устройством автоматизированной системы динамического контроля массы движущихся транспортных средств на автомобильной дороге Улан-Удэ - Романовка - Чита в Читинском районе Забайкальского края"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1 540,1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</w:pP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1 540,1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 xml:space="preserve">Корректировка инженерных изысканий, проектной и рабочей документации по объекту: "Строительство автомобильной дороги Ясная - Ясногорск (подъезд от автомобильной дороги федерального значения А-350 Чита - Забайкальск - Граница с Китайской Народной Республикой к п. Ясногорск) в </w:t>
            </w:r>
            <w:proofErr w:type="spellStart"/>
            <w:r>
              <w:t>Оловяннинском</w:t>
            </w:r>
            <w:proofErr w:type="spellEnd"/>
            <w:r>
              <w:t xml:space="preserve"> районе Забайкальского края"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8 906,4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</w:pP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8 906,4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 xml:space="preserve">Станция очистки воды в </w:t>
            </w:r>
            <w:proofErr w:type="spellStart"/>
            <w:r>
              <w:t>пгт</w:t>
            </w:r>
            <w:proofErr w:type="spellEnd"/>
            <w:r>
              <w:t>. Оловянная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48 789,9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47 813,9</w:t>
            </w: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976,0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</w:t>
            </w:r>
            <w:proofErr w:type="gramStart"/>
            <w:r>
              <w:t>Прибрежный</w:t>
            </w:r>
            <w:proofErr w:type="gramEnd"/>
            <w:r>
              <w:t xml:space="preserve"> (</w:t>
            </w:r>
            <w:proofErr w:type="spellStart"/>
            <w:r>
              <w:t>Кенонский</w:t>
            </w:r>
            <w:proofErr w:type="spellEnd"/>
            <w:r>
              <w:t>)"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29 694,8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29 100,8</w:t>
            </w: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594,0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ВНС "Рахова"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25 282,5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24 776,8</w:t>
            </w: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505,7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"ВНС Сапун-Гора"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39 691,1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38 897,2</w:t>
            </w: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793,9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источнике водоснабжения ООО "Авангард плюс" </w:t>
            </w:r>
            <w:proofErr w:type="spellStart"/>
            <w:r>
              <w:t>подрусловый</w:t>
            </w:r>
            <w:proofErr w:type="spellEnd"/>
            <w:r>
              <w:t xml:space="preserve"> водозабор сельского поселения "</w:t>
            </w:r>
            <w:proofErr w:type="spellStart"/>
            <w:r>
              <w:t>Дунаевское</w:t>
            </w:r>
            <w:proofErr w:type="spellEnd"/>
            <w:r>
              <w:t>" муниципального района "Сретенский район"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50 591,3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49 579,3</w:t>
            </w: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1 012,0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источнике водоснабжения ООО "Коммунальник" сельского поселения "</w:t>
            </w:r>
            <w:proofErr w:type="spellStart"/>
            <w:r>
              <w:t>Улетовское</w:t>
            </w:r>
            <w:proofErr w:type="spellEnd"/>
            <w:r>
              <w:t>" муниципального района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23 986,6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23 506,8</w:t>
            </w: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479,8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системах централизованного водоснабжения </w:t>
            </w:r>
            <w:proofErr w:type="spellStart"/>
            <w:r>
              <w:t>Хилокская</w:t>
            </w:r>
            <w:proofErr w:type="spellEnd"/>
            <w:r>
              <w:t xml:space="preserve"> одиночная скважина N 66-Ч-17 (ЦРБ)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51 648,5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50 615,5</w:t>
            </w: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1 033,0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ЦСВ скважина группового водозабора "Речной" N 22-70, ЦВС скважина группового водозабора "Речной" N 22-70БИС"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89 516,9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87 726,4</w:t>
            </w: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1 790,5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2 г. Чита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344 119,1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337 236,7</w:t>
            </w: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6 882,4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3 г. Чита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428 994,6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420 414,6</w:t>
            </w: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8 580,0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>Ситуационный центр Губернатора Забайкальского края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13 000,0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</w:pP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13 000,0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 xml:space="preserve">Строительство очистных сооружений п. Тарбагатай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8 473,0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8 303,5</w:t>
            </w: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169,5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162 020,4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158 780,0</w:t>
            </w: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3 240,4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 xml:space="preserve">Строительство очистных сооружений в </w:t>
            </w:r>
            <w:proofErr w:type="spellStart"/>
            <w:r>
              <w:t>п.п.ст</w:t>
            </w:r>
            <w:proofErr w:type="spellEnd"/>
            <w:r>
              <w:t xml:space="preserve">. </w:t>
            </w:r>
            <w:proofErr w:type="spellStart"/>
            <w:r>
              <w:t>Жипхеген</w:t>
            </w:r>
            <w:proofErr w:type="spellEnd"/>
            <w:r>
              <w:t xml:space="preserve"> в </w:t>
            </w:r>
            <w:proofErr w:type="spellStart"/>
            <w:r>
              <w:t>Хилокском</w:t>
            </w:r>
            <w:proofErr w:type="spellEnd"/>
            <w:r>
              <w:t xml:space="preserve"> районе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29 135,8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28 553,1</w:t>
            </w: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582,7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 xml:space="preserve">Школа на 250 мест по адресу: Забайкальский край, Читинский район, с. </w:t>
            </w:r>
            <w:proofErr w:type="spellStart"/>
            <w:r>
              <w:t>Смоленка</w:t>
            </w:r>
            <w:proofErr w:type="spellEnd"/>
            <w:r>
              <w:t xml:space="preserve">, ул. </w:t>
            </w:r>
            <w:proofErr w:type="gramStart"/>
            <w:r>
              <w:t>Садовая</w:t>
            </w:r>
            <w:proofErr w:type="gramEnd"/>
            <w:r>
              <w:t>, 2а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61,6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</w:pP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61,6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proofErr w:type="gramStart"/>
            <w:r>
              <w:t>Школа-детский</w:t>
            </w:r>
            <w:proofErr w:type="gramEnd"/>
            <w:r>
              <w:t xml:space="preserve"> сад в п. Могзон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606 933,7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</w:pP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606 933,7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Баляга</w:t>
            </w:r>
            <w:proofErr w:type="spellEnd"/>
            <w:r>
              <w:t xml:space="preserve"> Петровск-Забайкальского района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70 140,2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</w:pP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70 140,2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 xml:space="preserve">.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79,7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</w:pP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79,7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Засопка</w:t>
            </w:r>
            <w:proofErr w:type="spellEnd"/>
            <w:r>
              <w:t xml:space="preserve"> Читинского района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60,3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</w:pP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60,3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Атамановка Читинского района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73,7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</w:pP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73,7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Забайкальск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82,6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</w:pP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82,6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>Школа в г. Сретенск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73,1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</w:pP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73,1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 xml:space="preserve">Школа на 250 мест по адресу: Забайкальский край, Читинский район, с. </w:t>
            </w:r>
            <w:proofErr w:type="spellStart"/>
            <w:r>
              <w:t>Смоленка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 "Добротный"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318 508,5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198 643,8</w:t>
            </w: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119 864,7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 xml:space="preserve">Строительство инженерных сооружений для защиты с. </w:t>
            </w:r>
            <w:proofErr w:type="spellStart"/>
            <w:r>
              <w:t>Малета</w:t>
            </w:r>
            <w:proofErr w:type="spellEnd"/>
            <w:r>
              <w:t xml:space="preserve">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111 298,1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101 281,3</w:t>
            </w: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10 016,8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 xml:space="preserve">Реконструкция гидротехнического сооружения в г. Чите - правый берег от моста по ул. Ковыльная до моста по ул. Генерала </w:t>
            </w:r>
            <w:proofErr w:type="spellStart"/>
            <w:r>
              <w:t>Белика</w:t>
            </w:r>
            <w:proofErr w:type="spellEnd"/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15 773,0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14 353,4</w:t>
            </w: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1 419,6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левый берег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17 362,6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15 800,0</w:t>
            </w: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1 562,6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правый берег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12 637,4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11 500,0</w:t>
            </w: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1 137,4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Чернышевск Чернышевского района от затопления паводковыми водами реки </w:t>
            </w:r>
            <w:proofErr w:type="spellStart"/>
            <w:r>
              <w:t>Алеур</w:t>
            </w:r>
            <w:proofErr w:type="spellEnd"/>
            <w:r>
              <w:t xml:space="preserve"> в Забайкальском крае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15 000,0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13 650,0</w:t>
            </w: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1 350,0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 xml:space="preserve">Строительство инженерных сооружений для защиты г. Шилка </w:t>
            </w:r>
            <w:proofErr w:type="spellStart"/>
            <w:r>
              <w:t>Шилкинского</w:t>
            </w:r>
            <w:proofErr w:type="spellEnd"/>
            <w:r>
              <w:t xml:space="preserve"> района от затопления паводковыми водами реки Кия в Забайкальском крае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15 000,0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13 650,0</w:t>
            </w: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1 350,0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>Реконструкция здания ГАУК "Забайкальский краевой драматический театр"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76 209,9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</w:pP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76 209,9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242 586,2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169 810,3</w:t>
            </w: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72 775,9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1 198 151,2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1 125 133,6</w:t>
            </w: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73 017,6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>Переселение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7 936,0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</w:pP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7 936,0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 xml:space="preserve">Строительство очистных сооружений </w:t>
            </w:r>
            <w:proofErr w:type="spellStart"/>
            <w:r>
              <w:t>пгт</w:t>
            </w:r>
            <w:proofErr w:type="spellEnd"/>
            <w:r>
              <w:t>. Приаргунск Забайкальского края, на земельном участке с кадастровым номером 75:17:180130:105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90 693,9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87 991,2</w:t>
            </w: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2 702,7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 xml:space="preserve">"Средняя общеобразовательная школа на 800 ученических мест" в городском округе "Город Чита",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Каштакский</w:t>
            </w:r>
            <w:proofErr w:type="spellEnd"/>
            <w:r>
              <w:t>"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514 618,0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504 325,6</w:t>
            </w: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10 292,4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>Средняя общеобразовательная школа на 800 ученических мест в Железнодорожном административном районе г. Читы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289 881,2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284 083,6</w:t>
            </w: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5 797,6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 xml:space="preserve">Сельский дом культуры в </w:t>
            </w:r>
            <w:proofErr w:type="spellStart"/>
            <w:r>
              <w:t>пгт</w:t>
            </w:r>
            <w:proofErr w:type="spellEnd"/>
            <w:r>
              <w:t>. Аксеново-Зиловское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67 520,7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65 508,5</w:t>
            </w: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2 012,2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>Поликлиническое подразделение 1 ГУЗ "Детский клинический медицинский центр г. Чита", пос. Текстильщиков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20 000,0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</w:pP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20 000,0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>Краевая детская клиническая больница в г. Чите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2 200 368,9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2 002 335,7</w:t>
            </w: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198 033,2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>Обеспечение жилыми помещениями детей-сирот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767 629,5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696 623,7</w:t>
            </w: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71 005,8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lastRenderedPageBreak/>
              <w:t>52.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23 147,1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</w:pP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23 147,1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 xml:space="preserve">Ледовая аренда по адресу: Забайкальский край, </w:t>
            </w:r>
            <w:proofErr w:type="spellStart"/>
            <w:r>
              <w:t>пгт</w:t>
            </w:r>
            <w:proofErr w:type="spellEnd"/>
            <w:r>
              <w:t xml:space="preserve">. Приаргунск, </w:t>
            </w:r>
            <w:proofErr w:type="spellStart"/>
            <w:r>
              <w:t>мкр</w:t>
            </w:r>
            <w:proofErr w:type="spellEnd"/>
            <w:r>
              <w:t>. 1, строение N 24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128 285,2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124 462,3</w:t>
            </w: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3 822,9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>Спортивный зал для занятий боксом по адресу: г. Чита, ул. Нагорная, 91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4 645,7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</w:pP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4 645,7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 xml:space="preserve">Универсальный спортивный зал в г. </w:t>
            </w:r>
            <w:proofErr w:type="spellStart"/>
            <w:r>
              <w:t>Краснокаменск</w:t>
            </w:r>
            <w:proofErr w:type="spellEnd"/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61 784,0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</w:pP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61 784,0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 xml:space="preserve">Строительство физкультурно-оздоровительного комплекса по адресу: </w:t>
            </w:r>
            <w:proofErr w:type="spellStart"/>
            <w:r>
              <w:t>п.г.т</w:t>
            </w:r>
            <w:proofErr w:type="spellEnd"/>
            <w:r>
              <w:t xml:space="preserve">. </w:t>
            </w:r>
            <w:proofErr w:type="spellStart"/>
            <w:r>
              <w:t>Карымское</w:t>
            </w:r>
            <w:proofErr w:type="spellEnd"/>
            <w:r>
              <w:t xml:space="preserve">, ул. </w:t>
            </w:r>
            <w:proofErr w:type="gramStart"/>
            <w:r>
              <w:t>Ленинградская</w:t>
            </w:r>
            <w:proofErr w:type="gramEnd"/>
            <w:r>
              <w:t>, 78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120 190,2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93 323,8</w:t>
            </w: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26 866,4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>Строительство физкультурно-оздоровительного комплекса (</w:t>
            </w:r>
            <w:proofErr w:type="spellStart"/>
            <w:r>
              <w:t>п.г.т</w:t>
            </w:r>
            <w:proofErr w:type="spellEnd"/>
            <w:r>
              <w:t xml:space="preserve">. Чернышевск, ул. </w:t>
            </w:r>
            <w:proofErr w:type="gramStart"/>
            <w:r>
              <w:t>Первомайская</w:t>
            </w:r>
            <w:proofErr w:type="gramEnd"/>
            <w:r>
              <w:t>)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87 966,3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75 642,8</w:t>
            </w: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12 323,5</w:t>
            </w:r>
          </w:p>
        </w:tc>
      </w:tr>
      <w:tr w:rsidR="00104F45" w:rsidTr="00AD3233">
        <w:tc>
          <w:tcPr>
            <w:tcW w:w="575" w:type="dxa"/>
          </w:tcPr>
          <w:p w:rsidR="00104F45" w:rsidRDefault="00104F45" w:rsidP="00AD3233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983" w:type="dxa"/>
          </w:tcPr>
          <w:p w:rsidR="00104F45" w:rsidRDefault="00104F45" w:rsidP="00AD3233">
            <w:pPr>
              <w:pStyle w:val="ConsPlusNormal"/>
              <w:jc w:val="both"/>
            </w:pPr>
            <w:r>
              <w:t xml:space="preserve">Строительство школы на 250 мест в селе Александровский Завод </w:t>
            </w:r>
            <w:proofErr w:type="spellStart"/>
            <w:r>
              <w:t>Александрово</w:t>
            </w:r>
            <w:proofErr w:type="spellEnd"/>
            <w:r>
              <w:t>-Заводского района Забайкальского края</w:t>
            </w:r>
          </w:p>
        </w:tc>
        <w:tc>
          <w:tcPr>
            <w:tcW w:w="158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414 281,0</w:t>
            </w:r>
          </w:p>
        </w:tc>
        <w:tc>
          <w:tcPr>
            <w:tcW w:w="1671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235 280,7</w:t>
            </w:r>
          </w:p>
        </w:tc>
        <w:tc>
          <w:tcPr>
            <w:tcW w:w="1407" w:type="dxa"/>
            <w:vAlign w:val="bottom"/>
          </w:tcPr>
          <w:p w:rsidR="00104F45" w:rsidRDefault="00104F45" w:rsidP="00AD3233">
            <w:pPr>
              <w:pStyle w:val="ConsPlusNormal"/>
              <w:jc w:val="right"/>
            </w:pPr>
            <w:r>
              <w:t>179 000,3</w:t>
            </w:r>
          </w:p>
        </w:tc>
      </w:tr>
    </w:tbl>
    <w:p w:rsidR="00104F45" w:rsidRDefault="00104F45" w:rsidP="00104F45">
      <w:pPr>
        <w:pStyle w:val="ConsPlusNormal"/>
        <w:jc w:val="both"/>
      </w:pPr>
    </w:p>
    <w:p w:rsidR="00104F45" w:rsidRDefault="00104F45" w:rsidP="00104F45">
      <w:pPr>
        <w:pStyle w:val="ConsPlusNormal"/>
        <w:jc w:val="both"/>
      </w:pPr>
    </w:p>
    <w:p w:rsidR="00104F45" w:rsidRDefault="00104F45" w:rsidP="00104F45">
      <w:pPr>
        <w:pStyle w:val="ConsPlusNormal"/>
        <w:jc w:val="both"/>
      </w:pPr>
    </w:p>
    <w:p w:rsidR="00104F45" w:rsidRDefault="00104F45" w:rsidP="00104F45">
      <w:pPr>
        <w:pStyle w:val="ConsPlusNormal"/>
        <w:jc w:val="both"/>
      </w:pPr>
    </w:p>
    <w:p w:rsidR="00104F45" w:rsidRDefault="00104F45" w:rsidP="00104F45">
      <w:pPr>
        <w:pStyle w:val="ConsPlusNormal"/>
        <w:jc w:val="both"/>
      </w:pPr>
    </w:p>
    <w:p w:rsidR="007911E5" w:rsidRDefault="007911E5">
      <w:bookmarkStart w:id="1" w:name="_GoBack"/>
      <w:bookmarkEnd w:id="1"/>
    </w:p>
    <w:sectPr w:rsidR="0079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F45"/>
    <w:rsid w:val="00104F45"/>
    <w:rsid w:val="0079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4F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4F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54A0BF422AA3589BBEB465761429EBEF699F74D8D44089FD953764F2B064AA97B4BDA3F8B68E24084D11FF886884AFD695A5FB09F47C6A83596F753D4f8x8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2022-12-06T23:25:00Z</dcterms:created>
  <dcterms:modified xsi:type="dcterms:W3CDTF">2022-12-06T23:25:00Z</dcterms:modified>
</cp:coreProperties>
</file>