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16" w:rsidRDefault="000F2C16" w:rsidP="000F2C16">
      <w:pPr>
        <w:pStyle w:val="ConsPlusNormal"/>
        <w:jc w:val="right"/>
        <w:outlineLvl w:val="0"/>
      </w:pPr>
      <w:r>
        <w:t>Приложение 25</w:t>
      </w:r>
    </w:p>
    <w:p w:rsidR="000F2C16" w:rsidRDefault="000F2C16" w:rsidP="000F2C16">
      <w:pPr>
        <w:pStyle w:val="ConsPlusNormal"/>
        <w:jc w:val="right"/>
      </w:pPr>
      <w:r>
        <w:t>к Закону Забайкальского края</w:t>
      </w:r>
    </w:p>
    <w:p w:rsidR="000F2C16" w:rsidRDefault="000F2C16" w:rsidP="000F2C16">
      <w:pPr>
        <w:pStyle w:val="ConsPlusNormal"/>
        <w:jc w:val="right"/>
      </w:pPr>
      <w:r>
        <w:t>"О бюджете Забайкальского края</w:t>
      </w:r>
    </w:p>
    <w:p w:rsidR="000F2C16" w:rsidRDefault="000F2C16" w:rsidP="000F2C16">
      <w:pPr>
        <w:pStyle w:val="ConsPlusNormal"/>
        <w:jc w:val="right"/>
      </w:pPr>
      <w:r>
        <w:t>на 2022 год и плановый период</w:t>
      </w:r>
    </w:p>
    <w:p w:rsidR="000F2C16" w:rsidRDefault="000F2C16" w:rsidP="000F2C16">
      <w:pPr>
        <w:pStyle w:val="ConsPlusNormal"/>
        <w:jc w:val="right"/>
      </w:pPr>
      <w:r>
        <w:t>2023 и 2024 годов"</w:t>
      </w:r>
    </w:p>
    <w:p w:rsidR="000F2C16" w:rsidRDefault="000F2C16" w:rsidP="000F2C16">
      <w:pPr>
        <w:pStyle w:val="ConsPlusNormal"/>
        <w:jc w:val="both"/>
      </w:pPr>
    </w:p>
    <w:p w:rsidR="000F2C16" w:rsidRDefault="000F2C16" w:rsidP="000F2C16">
      <w:pPr>
        <w:pStyle w:val="ConsPlusTitle"/>
        <w:jc w:val="center"/>
      </w:pPr>
      <w:bookmarkStart w:id="0" w:name="P102132"/>
      <w:bookmarkEnd w:id="0"/>
      <w:r>
        <w:t>МЕЖБЮДЖЕТНЫЕ ТРАНСФЕРТЫ, ПРЕДОСТАВЛЯЕМЫЕ БЮДЖЕТАМ</w:t>
      </w:r>
    </w:p>
    <w:p w:rsidR="000F2C16" w:rsidRDefault="000F2C16" w:rsidP="000F2C16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0F2C16" w:rsidRDefault="000F2C16" w:rsidP="000F2C16">
      <w:pPr>
        <w:pStyle w:val="ConsPlusTitle"/>
        <w:jc w:val="center"/>
      </w:pPr>
      <w:r>
        <w:t>ОКРУГОВ,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0F2C16" w:rsidRDefault="000F2C16" w:rsidP="000F2C1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F2C16" w:rsidTr="00DB7E9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C16" w:rsidRDefault="000F2C16" w:rsidP="00DB7E9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C16" w:rsidRDefault="000F2C16" w:rsidP="00DB7E9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2C16" w:rsidRDefault="000F2C16" w:rsidP="00DB7E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F2C16" w:rsidRDefault="000F2C16" w:rsidP="00DB7E9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F2C16" w:rsidRDefault="000F2C16" w:rsidP="00DB7E93">
            <w:pPr>
              <w:pStyle w:val="ConsPlusNormal"/>
              <w:jc w:val="center"/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2C16" w:rsidRDefault="000F2C16" w:rsidP="00DB7E93">
            <w:pPr>
              <w:spacing w:after="1" w:line="0" w:lineRule="atLeast"/>
            </w:pPr>
          </w:p>
        </w:tc>
      </w:tr>
    </w:tbl>
    <w:p w:rsidR="000F2C16" w:rsidRDefault="000F2C16" w:rsidP="000F2C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85"/>
        <w:gridCol w:w="1504"/>
        <w:gridCol w:w="557"/>
        <w:gridCol w:w="557"/>
        <w:gridCol w:w="1174"/>
        <w:gridCol w:w="1384"/>
        <w:gridCol w:w="1384"/>
      </w:tblGrid>
      <w:tr w:rsidR="000F2C16" w:rsidTr="00DB7E93">
        <w:tc>
          <w:tcPr>
            <w:tcW w:w="3485" w:type="dxa"/>
            <w:vMerge w:val="restart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792" w:type="dxa"/>
            <w:gridSpan w:val="4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768" w:type="dxa"/>
            <w:gridSpan w:val="2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F2C16" w:rsidTr="00DB7E93">
        <w:tc>
          <w:tcPr>
            <w:tcW w:w="3485" w:type="dxa"/>
            <w:vMerge/>
          </w:tcPr>
          <w:p w:rsidR="000F2C16" w:rsidRDefault="000F2C16" w:rsidP="00DB7E93">
            <w:pPr>
              <w:spacing w:after="1" w:line="0" w:lineRule="atLeast"/>
            </w:pP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2024 год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7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4 673 695,0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4 066 628,0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4 646 668,0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4 038 994,0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01 3 02 78020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4 646 668,0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4 038 994,0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27 027,0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27 634,0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88 0 00 50100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27 027,0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27 634,0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3 531 439,5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2 997 029,1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 xml:space="preserve">Государственная программа Забайкальского края "Развитие сельского хозяйства и регулирование рынков </w:t>
            </w:r>
            <w:r>
              <w:lastRenderedPageBreak/>
              <w:t>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lastRenderedPageBreak/>
              <w:t>05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37 762,7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38 365,7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lastRenderedPageBreak/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23 830,4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Реализация мероприятий по созданию и (или) обустройству приютов для содержания животных без владельцев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02 77266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13 932,3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14 535,3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1 209,0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08 2 02 77267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1 209,0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12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257 494,0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180 126,4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12 1 03 74521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61 841,7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63 084,5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12 3 01 R4970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117 041,9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1 415 428,6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979 080,7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2 08 R3040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923 092,3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2 09 R7500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lastRenderedPageBreak/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2 E2 50970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20 590,1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14 7 02 71101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35 398,3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404 674,0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334 427,1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15 1 03 R4660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1 653,8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1 991,4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15 1 06 R4670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24 609,5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24 609,5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15 1 A1 55130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216 834,2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107 662,6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15 1 A1 55190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80 889,4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115 800,0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15 1 A1 55900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7 060,7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4 143,8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Реконструкция и капитальный ремонт муниципальных музеев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15 1 A1 55970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71 538,5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78 131,9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15 1 A2 55190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2 087,9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2 087,9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 xml:space="preserve">Государственная программа Забайкальского края "Совершенствование </w:t>
            </w:r>
            <w:r>
              <w:lastRenderedPageBreak/>
              <w:t>государственного управления Забайкальского края"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lastRenderedPageBreak/>
              <w:t>19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1 389,2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lastRenderedPageBreak/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19 7 03 R5150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1 389,2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21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11 000,0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21 1 06 78111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11 000,0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11 000,0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27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157 711,2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27 1 02 74905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157 711,2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28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353 584,4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360 274,6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28 3 01 R0230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55 966,8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62 657,0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28 4 01 R1780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297 617,6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297 617,6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29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316 278,6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29 1 F2 55550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284 650,8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316 278,6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1 134,2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31 3 01 R2990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1 134,2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32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391 788,1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400 418,6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32 1 01 R5764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28 236,7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32 3 02 R5763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10 948,7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9 130,1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32 3 03 R5760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354 711,1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363 051,8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33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215 613,8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33 2 01 74315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160 000,0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 xml:space="preserve">Субсидия на строительство, реконструкцию, капитальный ремонт и ремонт автомобильных </w:t>
            </w:r>
            <w:r>
              <w:lastRenderedPageBreak/>
              <w:t>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lastRenderedPageBreak/>
              <w:t>33 2 01 74317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55 000,0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55 613,8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  <w:outlineLvl w:val="1"/>
            </w:pPr>
            <w:r>
              <w:lastRenderedPageBreak/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9 996 586,9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10 270 301,5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98 335,4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98 432,5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01 3 02 78060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93 506,0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93 506,0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01 3 02 79205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4 829,4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4 926,5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11 557,7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11 735,4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04 3 08 79206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11 557,7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11 735,4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25 202,2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25 692,0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22 606,6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23 046,0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2 595,6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2 646,0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13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82 700,7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84 362,6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13 1 03 74505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82 639,2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84 299,9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13 1 03 79227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14,6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13 1 03 79502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47,2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48,1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9 187 448,3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9 449 029,5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2 663 810,5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2 722 810,2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14 1 02 71230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31 248,2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31 876,2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14 2 01 71201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6 231 989,9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6 428 710,3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14 2 01 71228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6 260,5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6 386,1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14 2 03 71218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151 665,8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154 713,5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14 3 02 71432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100 512,0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102 531,7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 xml:space="preserve">Осуществление государственных </w:t>
            </w:r>
            <w:r>
              <w:lastRenderedPageBreak/>
              <w:t>полномочий в области образования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lastRenderedPageBreak/>
              <w:t>14 9 05 79230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1 961,4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2 001,5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498 711,6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505 455,8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17 3 03 72400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406 118,3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412 364,0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17 3 03 79211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85 335,5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86 647,8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17 3 05 74580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7 253,3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6 440,0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17 3 05 79581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4,0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88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92 631,0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95 593,7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88 0 00 51180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66 326,1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68 740,2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88 0 00 51200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349,3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376,0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 xml:space="preserve">Осуществление государственного полномочия по созданию административных комиссий в </w:t>
            </w:r>
            <w:r>
              <w:lastRenderedPageBreak/>
              <w:t>Забайкальском крае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lastRenderedPageBreak/>
              <w:t>88 0 00 79207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679,2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692,8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88 0 00 79208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895,4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88 0 00 79214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383,0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88 0 00 79220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24 023,0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24 506,3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2 035 658,3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1 985 861,1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01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59 307,6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59 307,6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01 3 02 78186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59 307,6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59 307,6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1 096 350,7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1 046 553,5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 xml:space="preserve">Ежемесячное денежное </w:t>
            </w:r>
            <w:r>
              <w:lastRenderedPageBreak/>
              <w:t>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lastRenderedPageBreak/>
              <w:t>14 2 01 53030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946 486,3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lastRenderedPageBreak/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14 2 01 71030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98 095,6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100 067,2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14 2 08 71444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60 000,0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0,0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33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880 000,0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880 000,0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33 2 01 74316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180 000,0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180 000,0</w:t>
            </w:r>
          </w:p>
        </w:tc>
      </w:tr>
      <w:tr w:rsidR="000F2C16" w:rsidTr="00DB7E93">
        <w:tc>
          <w:tcPr>
            <w:tcW w:w="3485" w:type="dxa"/>
            <w:vAlign w:val="center"/>
          </w:tcPr>
          <w:p w:rsidR="000F2C16" w:rsidRDefault="000F2C16" w:rsidP="00DB7E9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  <w:r>
              <w:t>33 3 R1 53940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700 000,0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700 000,0</w:t>
            </w:r>
          </w:p>
        </w:tc>
      </w:tr>
      <w:tr w:rsidR="000F2C16" w:rsidTr="00DB7E93">
        <w:tc>
          <w:tcPr>
            <w:tcW w:w="3485" w:type="dxa"/>
          </w:tcPr>
          <w:p w:rsidR="000F2C16" w:rsidRDefault="000F2C16" w:rsidP="00DB7E93">
            <w:pPr>
              <w:pStyle w:val="ConsPlusNormal"/>
            </w:pPr>
            <w:r>
              <w:t>Итого расходов</w:t>
            </w:r>
          </w:p>
        </w:tc>
        <w:tc>
          <w:tcPr>
            <w:tcW w:w="150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557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0F2C16" w:rsidRDefault="000F2C16" w:rsidP="00DB7E93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20 237 379,7</w:t>
            </w:r>
          </w:p>
        </w:tc>
        <w:tc>
          <w:tcPr>
            <w:tcW w:w="1384" w:type="dxa"/>
            <w:vAlign w:val="center"/>
          </w:tcPr>
          <w:p w:rsidR="000F2C16" w:rsidRDefault="000F2C16" w:rsidP="00DB7E93">
            <w:pPr>
              <w:pStyle w:val="ConsPlusNormal"/>
              <w:jc w:val="right"/>
            </w:pPr>
            <w:r>
              <w:t>19 319 819,7</w:t>
            </w:r>
          </w:p>
        </w:tc>
      </w:tr>
    </w:tbl>
    <w:p w:rsidR="000F2C16" w:rsidRDefault="000F2C16" w:rsidP="000F2C16">
      <w:pPr>
        <w:pStyle w:val="ConsPlusNormal"/>
        <w:jc w:val="both"/>
      </w:pPr>
      <w:bookmarkStart w:id="1" w:name="_GoBack"/>
      <w:bookmarkEnd w:id="1"/>
    </w:p>
    <w:p w:rsidR="000F2C16" w:rsidRDefault="000F2C16" w:rsidP="000F2C16">
      <w:pPr>
        <w:pStyle w:val="ConsPlusNormal"/>
        <w:jc w:val="both"/>
      </w:pPr>
    </w:p>
    <w:p w:rsidR="00405EFB" w:rsidRPr="000F2C16" w:rsidRDefault="00405EFB" w:rsidP="000F2C16"/>
    <w:sectPr w:rsidR="00405EFB" w:rsidRPr="000F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16"/>
    <w:rsid w:val="000F2C16"/>
    <w:rsid w:val="0040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2C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102BAD9C0293CE5F176BAA61A56A04B8E537D08157AD36213BE4E74AB9DBD33D0FE3B0EB4963E98B5670D67872A9016AA3E3sDG" TargetMode="External"/><Relationship Id="rId5" Type="http://schemas.openxmlformats.org/officeDocument/2006/relationships/hyperlink" Target="consultantplus://offline/ref=1A102BAD9C0293CE5F176BAA61A56A04B8E537D08157AD342730E2E74AB9DBD33D0FE3B0EB5B63B1875672CA7B79BC573BE56AB1D67D00B28639168DCFE7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2022-03-04T06:26:00Z</dcterms:created>
  <dcterms:modified xsi:type="dcterms:W3CDTF">2022-03-04T06:26:00Z</dcterms:modified>
</cp:coreProperties>
</file>