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3AD" w:rsidRDefault="005443AD" w:rsidP="005443AD">
      <w:pPr>
        <w:pStyle w:val="ConsPlusNormal"/>
        <w:jc w:val="right"/>
        <w:outlineLvl w:val="0"/>
      </w:pPr>
      <w:r>
        <w:t>Приложение 16</w:t>
      </w:r>
    </w:p>
    <w:p w:rsidR="005443AD" w:rsidRDefault="005443AD" w:rsidP="005443AD">
      <w:pPr>
        <w:pStyle w:val="ConsPlusNormal"/>
        <w:jc w:val="right"/>
      </w:pPr>
      <w:r>
        <w:t>к Закону Забайкальского края</w:t>
      </w:r>
    </w:p>
    <w:p w:rsidR="005443AD" w:rsidRDefault="005443AD" w:rsidP="005443AD">
      <w:pPr>
        <w:pStyle w:val="ConsPlusNormal"/>
        <w:jc w:val="right"/>
      </w:pPr>
      <w:r>
        <w:t>"О бюджете Забайкальского края</w:t>
      </w:r>
    </w:p>
    <w:p w:rsidR="005443AD" w:rsidRDefault="005443AD" w:rsidP="005443AD">
      <w:pPr>
        <w:pStyle w:val="ConsPlusNormal"/>
        <w:jc w:val="right"/>
      </w:pPr>
      <w:bookmarkStart w:id="0" w:name="_GoBack"/>
      <w:bookmarkEnd w:id="0"/>
      <w:r>
        <w:t>на 2022 год и плановый период</w:t>
      </w:r>
    </w:p>
    <w:p w:rsidR="005443AD" w:rsidRDefault="005443AD" w:rsidP="005443AD">
      <w:pPr>
        <w:pStyle w:val="ConsPlusNormal"/>
        <w:jc w:val="right"/>
      </w:pPr>
      <w:r>
        <w:t>2023 и 2024 годов"</w:t>
      </w:r>
    </w:p>
    <w:p w:rsidR="005443AD" w:rsidRDefault="005443AD" w:rsidP="005443AD">
      <w:pPr>
        <w:pStyle w:val="ConsPlusNormal"/>
        <w:jc w:val="both"/>
      </w:pPr>
    </w:p>
    <w:p w:rsidR="005443AD" w:rsidRDefault="005443AD" w:rsidP="005443AD">
      <w:pPr>
        <w:pStyle w:val="ConsPlusTitle"/>
        <w:jc w:val="center"/>
      </w:pPr>
      <w:bookmarkStart w:id="1" w:name="P99462"/>
      <w:bookmarkEnd w:id="1"/>
      <w:r>
        <w:t>РАСПРЕДЕЛЕНИЕ</w:t>
      </w:r>
    </w:p>
    <w:p w:rsidR="005443AD" w:rsidRDefault="005443AD" w:rsidP="005443AD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5443AD" w:rsidRDefault="005443AD" w:rsidP="005443AD">
      <w:pPr>
        <w:pStyle w:val="ConsPlusTitle"/>
        <w:jc w:val="center"/>
      </w:pPr>
      <w:r>
        <w:t>ОБЯЗАТЕЛЬСТВ НА 2022 ГОД</w:t>
      </w:r>
    </w:p>
    <w:p w:rsidR="005443AD" w:rsidRDefault="005443AD" w:rsidP="005443AD">
      <w:pPr>
        <w:pStyle w:val="ConsPlusNormal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87"/>
        <w:gridCol w:w="1564"/>
        <w:gridCol w:w="633"/>
        <w:gridCol w:w="685"/>
        <w:gridCol w:w="1357"/>
        <w:gridCol w:w="1513"/>
      </w:tblGrid>
      <w:tr w:rsidR="005443AD" w:rsidTr="005443AD">
        <w:tc>
          <w:tcPr>
            <w:tcW w:w="425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443AD" w:rsidTr="005443AD">
        <w:tc>
          <w:tcPr>
            <w:tcW w:w="425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6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13 902 556,1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17 1 01 52200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31 035,4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17 1 01 52400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100,4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17 1 01 52500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400 542,9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17 1 01 82101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467 512,1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17 1 01 82102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308 928,6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17 1 01 82103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6 961,7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17 1 01 82104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7 223,6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17 1 01 82205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18 852,8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 xml:space="preserve">Предоставление государственной </w:t>
            </w:r>
            <w:r>
              <w:lastRenderedPageBreak/>
              <w:t>социальной помощи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lastRenderedPageBreak/>
              <w:t>17 1 01 82602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7 000,0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lastRenderedPageBreak/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17 1 01 82607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13 162,4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17 1 01 82608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600,0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17 1 01 82609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5 460,0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17 1 01 84001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335 152,2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17 1 01 84002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118 033,4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17 1 01 84062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13 079,6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17 1 01 84522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543 097,9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17 1 01 84523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314 742,6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17 1 01 84531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17 455,0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 xml:space="preserve">Предоставление гражданам субсидии на оплату жилого помещения и </w:t>
            </w:r>
            <w:r>
              <w:lastRenderedPageBreak/>
              <w:t>коммунальных услуг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lastRenderedPageBreak/>
              <w:t>17 1 01 84800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279 052,1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lastRenderedPageBreak/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17 1 01 89200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30 590,6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17 1 01 89505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1 321,2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1 01 R0070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2 370 816,0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1 01 R4040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358 993,1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1 01 R4620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7 000,1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17 3 04 82511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404 567,1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17 3 04 82512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139 010,0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17 3 04 82601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119,5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17 3 04 84514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83 651,4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3 04 R3020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4 435 398,5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3 P1 50780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449 210,2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 xml:space="preserve">Осуществление ежемесячной </w:t>
            </w:r>
            <w:r>
              <w:lastRenderedPageBreak/>
              <w:t>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lastRenderedPageBreak/>
              <w:t>17 3 P1 50840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1 149 579,7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lastRenderedPageBreak/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  <w:r>
              <w:t>17 3 P1 55730</w:t>
            </w: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1 584 306,0</w:t>
            </w:r>
          </w:p>
        </w:tc>
      </w:tr>
      <w:tr w:rsidR="005443AD" w:rsidTr="005443AD">
        <w:tc>
          <w:tcPr>
            <w:tcW w:w="4250" w:type="dxa"/>
            <w:vAlign w:val="bottom"/>
          </w:tcPr>
          <w:p w:rsidR="005443AD" w:rsidRDefault="005443AD" w:rsidP="00DB7E93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701" w:type="dxa"/>
            <w:vAlign w:val="center"/>
          </w:tcPr>
          <w:p w:rsidR="005443AD" w:rsidRDefault="005443AD" w:rsidP="00DB7E93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5443AD" w:rsidRDefault="005443AD" w:rsidP="00DB7E93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43AD" w:rsidRDefault="005443AD" w:rsidP="00DB7E93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443AD" w:rsidRDefault="005443AD" w:rsidP="00DB7E93">
            <w:pPr>
              <w:pStyle w:val="ConsPlusNormal"/>
            </w:pPr>
          </w:p>
        </w:tc>
        <w:tc>
          <w:tcPr>
            <w:tcW w:w="1645" w:type="dxa"/>
            <w:vAlign w:val="center"/>
          </w:tcPr>
          <w:p w:rsidR="005443AD" w:rsidRDefault="005443AD" w:rsidP="00DB7E93">
            <w:pPr>
              <w:pStyle w:val="ConsPlusNormal"/>
              <w:jc w:val="right"/>
            </w:pPr>
            <w:r>
              <w:t>13 902 556,1</w:t>
            </w:r>
          </w:p>
        </w:tc>
      </w:tr>
    </w:tbl>
    <w:p w:rsidR="005443AD" w:rsidRDefault="005443AD" w:rsidP="005443AD">
      <w:pPr>
        <w:pStyle w:val="ConsPlusNormal"/>
        <w:jc w:val="both"/>
      </w:pPr>
    </w:p>
    <w:p w:rsidR="005443AD" w:rsidRDefault="005443AD" w:rsidP="005443AD">
      <w:pPr>
        <w:pStyle w:val="ConsPlusNormal"/>
        <w:jc w:val="both"/>
      </w:pPr>
    </w:p>
    <w:p w:rsidR="00405EFB" w:rsidRDefault="00405EFB"/>
    <w:sectPr w:rsidR="0040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AD"/>
    <w:rsid w:val="00405EFB"/>
    <w:rsid w:val="0054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43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43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43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43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2022-03-04T06:15:00Z</dcterms:created>
  <dcterms:modified xsi:type="dcterms:W3CDTF">2022-03-04T06:16:00Z</dcterms:modified>
</cp:coreProperties>
</file>