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78" w:rsidRDefault="00B41578" w:rsidP="00B41578">
      <w:pPr>
        <w:pStyle w:val="ConsPlusNormal"/>
        <w:jc w:val="right"/>
        <w:outlineLvl w:val="0"/>
      </w:pPr>
      <w:bookmarkStart w:id="0" w:name="Par123872"/>
      <w:bookmarkEnd w:id="0"/>
      <w:r>
        <w:t>Приложение 30</w:t>
      </w:r>
    </w:p>
    <w:p w:rsidR="00B41578" w:rsidRDefault="00B41578" w:rsidP="00B41578">
      <w:pPr>
        <w:pStyle w:val="ConsPlusNormal"/>
        <w:jc w:val="right"/>
      </w:pPr>
      <w:r>
        <w:t>к Закону Забайкальского края "О бюджете</w:t>
      </w:r>
    </w:p>
    <w:p w:rsidR="00B41578" w:rsidRDefault="00B41578" w:rsidP="00B41578">
      <w:pPr>
        <w:pStyle w:val="ConsPlusNormal"/>
        <w:jc w:val="right"/>
      </w:pPr>
      <w:r>
        <w:t>Забайкальского края на 2021 год и</w:t>
      </w:r>
    </w:p>
    <w:p w:rsidR="00B41578" w:rsidRDefault="00B41578" w:rsidP="00B41578">
      <w:pPr>
        <w:pStyle w:val="ConsPlusNormal"/>
        <w:jc w:val="right"/>
      </w:pPr>
      <w:r>
        <w:t>плановый период 2022 и 2023 годов"</w:t>
      </w:r>
    </w:p>
    <w:p w:rsidR="00B41578" w:rsidRDefault="00B41578" w:rsidP="00B4157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1578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578" w:rsidRDefault="00B41578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578" w:rsidRDefault="00B41578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1578" w:rsidRDefault="00B41578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41578" w:rsidRDefault="00B41578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B41578" w:rsidRDefault="00B41578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01.04.2021 </w:t>
            </w:r>
            <w:hyperlink r:id="rId5" w:history="1">
              <w:r>
                <w:rPr>
                  <w:color w:val="0000FF"/>
                </w:rPr>
                <w:t>N 1921-ЗЗК</w:t>
              </w:r>
            </w:hyperlink>
            <w:r>
              <w:rPr>
                <w:color w:val="392C69"/>
              </w:rPr>
              <w:t xml:space="preserve">, от 08.07.2021 </w:t>
            </w:r>
            <w:hyperlink r:id="rId6" w:history="1">
              <w:r>
                <w:rPr>
                  <w:color w:val="0000FF"/>
                </w:rPr>
                <w:t>N 1952-ЗЗК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578" w:rsidRDefault="00B41578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1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ДОТАЦИЙ БЮДЖЕТАМ МУНИЦИПАЛЬНЫХ РАЙОНОВ (МУНИЦИПАЛЬНЫХ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ОКРУГОВ, ГОРОДСКИХ ОКРУГОВ) НА ВЫРАВНИВАНИЕ БЮДЖЕТНОЙ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ОБЕСПЕЧЕННОСТИ МУНИЦИПАЛЬНЫХ РАЙОНОВ (МУНИЦИПАЛЬНЫХ ОКРУГОВ,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ГОРОДСКИХ ОКРУГОВ) 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989"/>
        <w:gridCol w:w="1417"/>
        <w:gridCol w:w="1531"/>
      </w:tblGrid>
      <w:tr w:rsidR="00B41578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B41578" w:rsidTr="00FE00CA">
        <w:tc>
          <w:tcPr>
            <w:tcW w:w="57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247 718,0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236 056,0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120 248,0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119 581,0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56 928,0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42 354,0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110 089,0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89 679,0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122 114,0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111 783,0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41 890,0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36 448,0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171 366,0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170 199,0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50 326,0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41 053,0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48 511,0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41 423,0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78 832,0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62 899,0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93 378,0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74 046,0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110 514,0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93 726,0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76 612,0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61 914,0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159 140,0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136 626,0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49 786,0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42 433,0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129 240,0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110 524,0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50 577,0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42 206,0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124 041,0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105 414,0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117 985,0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117 191,0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85 154,0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72 602,0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138 807,0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117 970,0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41 281,0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39 553,0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169 218,0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169 218,0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95 470,0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81 727,0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103 440,0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86 818,0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158 369,0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133 047,0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180 829,0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151 183,0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86 684,0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85 920,0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151 414,0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128 039,0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73 166,0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58 004,0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91 316,0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77 719,0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Городской округ "Поселок Агинское"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77 274,0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65 638,0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66 677,0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56 512,0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339 360,0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339 360,0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23 785,0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20 267,0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  <w:jc w:val="both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41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960 383,0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854 787,0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2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ФИНАНСИРОВАНИЕ РАСХОДОВ, СВЯЗАННЫХ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 ПРЕДОСТАВЛЕНИЕМ ПЕДАГОГИЧЕСКИМ РАБОТНИКАМ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ОБРАЗОВАТЕЛЬНЫХ ОРГАНИЗАЦИЙ ПРАВА НА УВЕЛИЧЕНИЕ ТАРИФНОЙ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СТАВКИ (ДОЛЖНОСТНОГО ОКЛАДА) НА 25 ПРОЦЕНТОВ В ПОСЕЛКАХ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ГОРОДСКОГО ТИПА (РАБОЧИХ ПОСЕЛКАХ) (КРОМЕ ПЕДАГОГИЧЕСКИХ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РАБОТНИКОВ МУНИЦИПАЛЬНЫХ ДОШКОЛЬНЫХ ОБРАЗОВАТЕЛЬНЫХ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 И МУНИЦИПАЛЬНЫХ ОБЩЕОБРАЗОВАТЕЛЬНЫХ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ОРГАНИЗАЦИЙ), 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386"/>
        <w:gridCol w:w="1304"/>
        <w:gridCol w:w="1134"/>
      </w:tblGrid>
      <w:tr w:rsidR="00B41578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B41578" w:rsidTr="00FE00CA">
        <w:tc>
          <w:tcPr>
            <w:tcW w:w="57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386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4 738,6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4 859,0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1 069,3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1 096,5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1 068,8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1 096,0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3 098,1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3 176,8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2 831,9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2 903,9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1 908,5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1 957,0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1 845,0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1 891,9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1 306,9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1 340,1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1 106,3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1 134,4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500,7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513,5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125,5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128,7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3 488,6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3 577,2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3 704,1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3 798,2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2 669,6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2 737,5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1 982,3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2 032,7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1 008,1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1 033,8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2 234,6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2 290,9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6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1 031,8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1 058,0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3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 И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 НА СОЗДАНИЕ В ОБЩЕОБРАЗОВАТЕЛЬНЫХ ОРГАНИЗАЦИЯХ,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РАСПОЛОЖЕННЫХ В СЕЛЬСКОЙ МЕСТНОСТИ И МАЛЫХ ГОРОДАХ, УСЛОВИЙ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ДЛЯ ЗАНЯТИЯ ФИЗИЧЕСКОЙ КУЛЬТУРОЙ И СПОРТОМ НА ПЛАНОВЫЙ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2022 И 2023 ГОДОВ</w:t>
      </w:r>
    </w:p>
    <w:p w:rsidR="00B41578" w:rsidRDefault="00B41578" w:rsidP="00B41578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41578" w:rsidRDefault="00B41578" w:rsidP="00B41578">
      <w:pPr>
        <w:pStyle w:val="ConsPlusNormal"/>
        <w:jc w:val="center"/>
      </w:pPr>
      <w:r>
        <w:t>от 01.04.2021 N 1921-ЗЗК)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sectPr w:rsidR="00B41578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94"/>
        <w:gridCol w:w="964"/>
        <w:gridCol w:w="1504"/>
        <w:gridCol w:w="1024"/>
        <w:gridCol w:w="964"/>
        <w:gridCol w:w="1504"/>
        <w:gridCol w:w="1024"/>
      </w:tblGrid>
      <w:tr w:rsidR="00B41578" w:rsidTr="00FE00C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41578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41578" w:rsidTr="00FE00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B41578" w:rsidTr="00FE00CA">
        <w:tc>
          <w:tcPr>
            <w:tcW w:w="45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279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18 877,1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18 897,6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18 519,6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378,0</w:t>
            </w:r>
          </w:p>
        </w:tc>
      </w:tr>
      <w:tr w:rsidR="00B41578" w:rsidTr="00FE00CA">
        <w:tc>
          <w:tcPr>
            <w:tcW w:w="45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2794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42,0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42,0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42,0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42,0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42,0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2 099,8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2 057,8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42,0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"Сретенский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lastRenderedPageBreak/>
              <w:t>2 407,8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2 099,8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2 057,8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42,0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94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4 199,5</w:t>
            </w:r>
          </w:p>
        </w:tc>
        <w:tc>
          <w:tcPr>
            <w:tcW w:w="15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4 115,5</w:t>
            </w:r>
          </w:p>
        </w:tc>
        <w:tc>
          <w:tcPr>
            <w:tcW w:w="10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84,0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4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 И МУНИЦИПАЛЬНОГО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ОКРУГА НА ПОДДЕРЖКУ ЭКОНОМИЧЕСКОГО И СОЦИАЛЬНОГО РАЗВИТИЯ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КОРЕННЫХ МАЛОЧИСЛЕННЫХ НАРОДОВ СЕВЕРА, СИБИРИ И ДАЛЬНЕГО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ВОСТОКА РОССИЙСКОЙ ФЕДЕРАЦИИ НА ПЛАНОВЫЙ ПЕРИОД 2022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B41578" w:rsidTr="00FE00C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41578" w:rsidTr="00FE00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B41578" w:rsidTr="00FE00CA"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1 264,2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59,5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1 313,9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1 252,1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61,8</w:t>
            </w:r>
          </w:p>
        </w:tc>
      </w:tr>
      <w:tr w:rsidR="00B41578" w:rsidTr="00FE00CA">
        <w:tc>
          <w:tcPr>
            <w:tcW w:w="73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316,6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14,9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329,1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313,6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15,5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451,8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431,5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20,3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448,5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427,4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540,4</w:t>
            </w:r>
          </w:p>
        </w:tc>
        <w:tc>
          <w:tcPr>
            <w:tcW w:w="169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516,1</w:t>
            </w:r>
          </w:p>
        </w:tc>
        <w:tc>
          <w:tcPr>
            <w:tcW w:w="1556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24,3</w:t>
            </w:r>
          </w:p>
        </w:tc>
        <w:tc>
          <w:tcPr>
            <w:tcW w:w="113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536,3</w:t>
            </w:r>
          </w:p>
        </w:tc>
        <w:tc>
          <w:tcPr>
            <w:tcW w:w="175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511,1</w:t>
            </w:r>
          </w:p>
        </w:tc>
        <w:tc>
          <w:tcPr>
            <w:tcW w:w="147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25,2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5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ОКРУГОВ, ГОРОДСКИХ ПОСЕЛЕНИЙ НА РЕАЛИЗАЦИЮ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МЕРОПРИЯТИЙ ПО ПРЕДОСТАВЛЕНИЮ МОЛОДЫМ СЕМЬЯМ СОЦИАЛЬНЫХ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ВЫПЛАТ НА ПРИОБРЕТЕНИЕ ЖИЛЬЯ ИЛИ СТРОИТЕЛЬСТВО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ИНДИВИДУАЛЬНОГО ЖИЛОГО ДОМА НА ПЛАНОВЫЙ ПЕРИОД 2022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B41578" w:rsidTr="00FE00C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41578" w:rsidTr="00FE00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B41578" w:rsidTr="00FE00CA"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201 123,4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19 891,3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215 859,3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196 432,0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19 427,3</w:t>
            </w:r>
          </w:p>
        </w:tc>
      </w:tr>
      <w:tr w:rsidR="00B41578" w:rsidTr="00FE00CA">
        <w:tc>
          <w:tcPr>
            <w:tcW w:w="73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22 391,0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20 375,8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2 015,2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21 868,6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19 900,5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1 968,1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229,0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208,5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223,7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203,6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214,9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195,5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19,4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190,9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18,9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1 615,3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1 470,0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145,3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1 577,7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1 435,7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142,0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5 569,2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5 068,0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501,2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5 439,3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4 949,8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489,5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30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4 281,7</w:t>
            </w:r>
          </w:p>
        </w:tc>
        <w:tc>
          <w:tcPr>
            <w:tcW w:w="169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3 896,3</w:t>
            </w:r>
          </w:p>
        </w:tc>
        <w:tc>
          <w:tcPr>
            <w:tcW w:w="1556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385,4</w:t>
            </w:r>
          </w:p>
        </w:tc>
        <w:tc>
          <w:tcPr>
            <w:tcW w:w="113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4 181,8</w:t>
            </w:r>
          </w:p>
        </w:tc>
        <w:tc>
          <w:tcPr>
            <w:tcW w:w="175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3 805,4</w:t>
            </w:r>
          </w:p>
        </w:tc>
        <w:tc>
          <w:tcPr>
            <w:tcW w:w="147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376,4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0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1 287,5</w:t>
            </w:r>
          </w:p>
        </w:tc>
        <w:tc>
          <w:tcPr>
            <w:tcW w:w="169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1 171,7</w:t>
            </w:r>
          </w:p>
        </w:tc>
        <w:tc>
          <w:tcPr>
            <w:tcW w:w="1556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115,8</w:t>
            </w:r>
          </w:p>
        </w:tc>
        <w:tc>
          <w:tcPr>
            <w:tcW w:w="113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1 257,5</w:t>
            </w:r>
          </w:p>
        </w:tc>
        <w:tc>
          <w:tcPr>
            <w:tcW w:w="175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1 144,4</w:t>
            </w:r>
          </w:p>
        </w:tc>
        <w:tc>
          <w:tcPr>
            <w:tcW w:w="147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113,1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18 801,0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17 108,8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1 692,2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18 362,4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16 709,7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1 652,7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1 599,0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1 455,0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144,0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1 561,5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1 421,0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140,5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433,7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394,7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39,0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423,6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4 111,0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3 741,1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369,9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4 015,2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3 653,8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361,4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15 109,8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13 749,9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1 359,9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14 757,3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13 429,2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1 328,1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15 109,8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13 749,9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1 359,9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14 757,3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13 429,2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1 328,1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5 482,8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4 989,4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493,4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5 354,9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4 873,0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481,9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6 258,4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5 695,2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563,2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6 112,4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5 562,3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550,1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4 508,3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4 102,6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4 403,2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4 006,9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396,3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30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4 508,3</w:t>
            </w:r>
          </w:p>
        </w:tc>
        <w:tc>
          <w:tcPr>
            <w:tcW w:w="169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4 102,6</w:t>
            </w:r>
          </w:p>
        </w:tc>
        <w:tc>
          <w:tcPr>
            <w:tcW w:w="1556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13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4 403,2</w:t>
            </w:r>
          </w:p>
        </w:tc>
        <w:tc>
          <w:tcPr>
            <w:tcW w:w="175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4 006,9</w:t>
            </w:r>
          </w:p>
        </w:tc>
        <w:tc>
          <w:tcPr>
            <w:tcW w:w="147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396,3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3 225,7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2 935,4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3 150,6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2 867,0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283,6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30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3 225,7</w:t>
            </w:r>
          </w:p>
        </w:tc>
        <w:tc>
          <w:tcPr>
            <w:tcW w:w="169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2 935,4</w:t>
            </w:r>
          </w:p>
        </w:tc>
        <w:tc>
          <w:tcPr>
            <w:tcW w:w="1556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13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3 150,6</w:t>
            </w:r>
          </w:p>
        </w:tc>
        <w:tc>
          <w:tcPr>
            <w:tcW w:w="175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2 867,0</w:t>
            </w:r>
          </w:p>
        </w:tc>
        <w:tc>
          <w:tcPr>
            <w:tcW w:w="147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283,6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4 368,1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3 974,9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393,2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4 266,2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3 882,2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384,0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2 953,5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2 687,8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2 884,7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2 625,1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259,6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0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2 953,5</w:t>
            </w:r>
          </w:p>
        </w:tc>
        <w:tc>
          <w:tcPr>
            <w:tcW w:w="169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2 687,8</w:t>
            </w:r>
          </w:p>
        </w:tc>
        <w:tc>
          <w:tcPr>
            <w:tcW w:w="1556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13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2 884,7</w:t>
            </w:r>
          </w:p>
        </w:tc>
        <w:tc>
          <w:tcPr>
            <w:tcW w:w="175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2 625,1</w:t>
            </w:r>
          </w:p>
        </w:tc>
        <w:tc>
          <w:tcPr>
            <w:tcW w:w="147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259,6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2 072,1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1 885,7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186,4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2 024,0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1 841,8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182,2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4 417,9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397,6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4 314,9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3 926,5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388,4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6 332,0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5 762,1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569,9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6 184,3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5 627,7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556,6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1 508,9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1 373,1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135,8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1 473,8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1 341,1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132,7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1 706,0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1 552,5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153,5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1 666,2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1 516,3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149,9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6 649,3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6 050,8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598,5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6 494,2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5 909,7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584,5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1 625,9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1 479,6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146,3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1 588,0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1 445,1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142,9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30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3 054,3</w:t>
            </w:r>
          </w:p>
        </w:tc>
        <w:tc>
          <w:tcPr>
            <w:tcW w:w="169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2 779,4</w:t>
            </w:r>
          </w:p>
        </w:tc>
        <w:tc>
          <w:tcPr>
            <w:tcW w:w="1556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274,9</w:t>
            </w:r>
          </w:p>
        </w:tc>
        <w:tc>
          <w:tcPr>
            <w:tcW w:w="113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2 983,1</w:t>
            </w:r>
          </w:p>
        </w:tc>
        <w:tc>
          <w:tcPr>
            <w:tcW w:w="175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2 714,6</w:t>
            </w:r>
          </w:p>
        </w:tc>
        <w:tc>
          <w:tcPr>
            <w:tcW w:w="147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268,5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6 649,6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6 050,9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6 494,1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5 909,7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584,4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1 327,1</w:t>
            </w:r>
          </w:p>
        </w:tc>
        <w:tc>
          <w:tcPr>
            <w:tcW w:w="169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1 207,6</w:t>
            </w:r>
          </w:p>
        </w:tc>
        <w:tc>
          <w:tcPr>
            <w:tcW w:w="1556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13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1 296,0</w:t>
            </w:r>
          </w:p>
        </w:tc>
        <w:tc>
          <w:tcPr>
            <w:tcW w:w="175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1 179,4</w:t>
            </w:r>
          </w:p>
        </w:tc>
        <w:tc>
          <w:tcPr>
            <w:tcW w:w="147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116,6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30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5 322,5</w:t>
            </w:r>
          </w:p>
        </w:tc>
        <w:tc>
          <w:tcPr>
            <w:tcW w:w="169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4 843,3</w:t>
            </w:r>
          </w:p>
        </w:tc>
        <w:tc>
          <w:tcPr>
            <w:tcW w:w="1556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479,2</w:t>
            </w:r>
          </w:p>
        </w:tc>
        <w:tc>
          <w:tcPr>
            <w:tcW w:w="113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5 198,1</w:t>
            </w:r>
          </w:p>
        </w:tc>
        <w:tc>
          <w:tcPr>
            <w:tcW w:w="175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4 730,3</w:t>
            </w:r>
          </w:p>
        </w:tc>
        <w:tc>
          <w:tcPr>
            <w:tcW w:w="147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467,8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10 047,5</w:t>
            </w:r>
          </w:p>
        </w:tc>
        <w:tc>
          <w:tcPr>
            <w:tcW w:w="169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9 143,2</w:t>
            </w:r>
          </w:p>
        </w:tc>
        <w:tc>
          <w:tcPr>
            <w:tcW w:w="1556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904,3</w:t>
            </w:r>
          </w:p>
        </w:tc>
        <w:tc>
          <w:tcPr>
            <w:tcW w:w="113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9 813,2</w:t>
            </w:r>
          </w:p>
        </w:tc>
        <w:tc>
          <w:tcPr>
            <w:tcW w:w="1757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8 930,0</w:t>
            </w:r>
          </w:p>
        </w:tc>
        <w:tc>
          <w:tcPr>
            <w:tcW w:w="147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883,2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41 414,6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37 687,3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3 727,3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40 448,6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36 808,2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3 640,4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831,1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756,3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74,8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811,7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738,6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73,1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42 515,0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38 688,6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3 826,4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41 523,2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37 786,2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3 737,0</w:t>
            </w:r>
          </w:p>
        </w:tc>
      </w:tr>
    </w:tbl>
    <w:p w:rsidR="00B41578" w:rsidRDefault="00B41578" w:rsidP="00B41578">
      <w:pPr>
        <w:pStyle w:val="ConsPlusNormal"/>
        <w:sectPr w:rsidR="00B41578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6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 ПРОЕКТИРОВАНИЕ, СТРОИТЕЛЬСТВО, РЕКОНСТРУКЦИЮ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АВТОМОБИЛЬНЫХ ДОРОГ (И ИСКУССТВЕННЫХ СООРУЖЕНИЙ НА НИХ)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ОБЩЕГО ПОЛЬЗОВАНИЯ МЕСТНОГО ЗНАЧЕНИЯ С ТВЕРДЫМ ПОКРЫТИЕМ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ДО СЕЛЬСКИХ НАСЕЛЕННЫХ ПУНКТОВ, НЕ ИМЕЮЩИХ КРУГЛОГОДИЧНОЙ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СВЯЗИ С СЕТЬЮ АВТОМОБИЛЬНЫХ ДОРОГ ОБЩЕГО ПОЛЬЗОВАНИЯ,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А ТАКЖЕ ИХ КАПИТАЛЬНЫЙ РЕМОНТ И РЕМОНТ НА ПЛАНОВЫЙ ПЕРИОД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9"/>
        <w:gridCol w:w="1361"/>
        <w:gridCol w:w="1304"/>
      </w:tblGrid>
      <w:tr w:rsidR="00B41578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5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43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160 000,0</w:t>
            </w:r>
          </w:p>
        </w:tc>
      </w:tr>
      <w:tr w:rsidR="00B41578" w:rsidTr="00FE00CA">
        <w:tc>
          <w:tcPr>
            <w:tcW w:w="57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43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13 226,5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22 855,0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2 506,3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31 679,1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18 059,8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14 065,5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19 963,9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16 788,7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16 020,1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16 767,4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12 781,8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10 460,6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10 921,0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18 680,2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16 617,7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11 665,8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45 273,6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30 516,2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7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СОЗДАНИЕ ЦЕНТРОВ ЦИФРОВОГО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ОБРАЗОВАНИЯ ДЕТЕЙ 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sectPr w:rsidR="00B41578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B41578" w:rsidTr="00FE00C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41578" w:rsidTr="00FE00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B41578" w:rsidTr="00FE00CA">
        <w:tc>
          <w:tcPr>
            <w:tcW w:w="737" w:type="dxa"/>
            <w:tcBorders>
              <w:top w:val="single" w:sz="4" w:space="0" w:color="auto"/>
            </w:tcBorders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</w:tcBorders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102 567,8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2 093,3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17 094,7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348,8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17 443,6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17 094,7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8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ОРГАНИЗАЦИЮ БЕСПЛАТНОГО ГОРЯЧЕГО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ПИТАНИЯ ОБУЧАЮЩИХСЯ, ПОЛУЧАЮЩИХ НАЧАЛЬНОЕ ОБЩЕЕ ОБРАЗОВАНИЕ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МУНИЦИПАЛЬНЫХ ОБРАЗОВАТЕЛЬНЫХ ОРГАНИЗАЦИЯХ, НА ПЛАНОВЫЙ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B41578" w:rsidTr="00FE00C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41578" w:rsidTr="00FE00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B41578" w:rsidTr="00FE00CA"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843 696,1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83 442,5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888 943,1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808 938,4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80 004,7</w:t>
            </w:r>
          </w:p>
        </w:tc>
      </w:tr>
      <w:tr w:rsidR="00B41578" w:rsidTr="00FE00CA">
        <w:tc>
          <w:tcPr>
            <w:tcW w:w="73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273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15 218,4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13 848,7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1 369,7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14 591,4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13 278,2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1 313,2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8 403,7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7 647,4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756,3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8 057,5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7 332,3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725,2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5 701,5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5 188,4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513,1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5 466,6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4 974,6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492,0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15 871,6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14 443,2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1 428,4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15 217,7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13 848,1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1 369,6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43 309,3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39 411,5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3 897,8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41 525,1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37 787,8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3 737,3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8 789,6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7 998,5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791,1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8 427,5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7 669,0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758,5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16 228,2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14 767,7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1 460,5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15 559,6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14 159,2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1 400,4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20 236,8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18 415,5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1 821,3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19 403,1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17 656,8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1 746,3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5 671,6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5 161,2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510,4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5 438,0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4 948,6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489,4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29 887,5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27 197,6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2 689,9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28 656,2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26 077,1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2 579,1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51 995,2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47 315,5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4 679,7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49 853,2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45 366,5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4 486,7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14 891,9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13 551,6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1 340,3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14 278,4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12 993,3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1 285,1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8 701,1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860,6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9 167,7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8 342,6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825,1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26 532,1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24 144,2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2 387,9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25 439,0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23 149,5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2 289,5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21 142,7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19 239,9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1 902,8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20 271,7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18 447,2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1 824,5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23 295,6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21 199,0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2 096,6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22 335,9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20 325,7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2 010,2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8 106,8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7 377,2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729,6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7 772,8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7 073,2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699,6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24 304,9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22 117,5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2 187,4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23 303,6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21 206,3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2 097,3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7 631,6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6 944,8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686,8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7 317,2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6 658,7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658,5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 xml:space="preserve">Муниципальный район "Петровск-Забайкальский </w:t>
            </w:r>
            <w:r>
              <w:lastRenderedPageBreak/>
              <w:t>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lastRenderedPageBreak/>
              <w:t>14 208,8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12 930,0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1 278,8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13 623,5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12 397,4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1 226,1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18 262,2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16 618,6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1 643,6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17 509,9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15 934,0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1 575,9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965,0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878,2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86,8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925,3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842,0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83,3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8 715,5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7 931,1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784,4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8 356,4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7 604,3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752,1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15 396,7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14 011,0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1 385,7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14 762,4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13 433,8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1 328,6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25 136,4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22 874,1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2 262,3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24 100,8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21 931,7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2 169,1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30 466,6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27 724,6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2 742,0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29 211,5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26 582,5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2 629,0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51 125,6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5 056,5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53 867,6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49 019,6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4 848,0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5 582,6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5 080,2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5 352,6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4 870,9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481,7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32 946,0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29 980,9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2 965,1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31 588,7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28 745,7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2 843,0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7 186,2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6 539,4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646,8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6 890,2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6 270,1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620,1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14 847,4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13 511,1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1 336,3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14 235,7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12 954,5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1 281,2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26 918,3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24 495,7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2 422,6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25 809,3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23 486,5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2 322,8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12 753,7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11 605,9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1 147,8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12 228,3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11 127,8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1 100,5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293 619,3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267 193,5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26 425,8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281 523,1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256 186,1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25 337,0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273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7 171,1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6 525,7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113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6 875,6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6 256,8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618,8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9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ОБЕСПЕЧЕНИЕ ГОСУДАРСТВЕННЫХ ГАРАНТИЙ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РЕАЛИЗАЦИИ ПРАВ НА ПОЛУЧЕНИЕ ОБЩЕДОСТУПНОГО И БЕСПЛАТНОГО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ДОШКОЛЬНОГО ОБРАЗОВАНИЯ В МУНИЦИПАЛЬНЫХ ДОШКОЛЬНЫХ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ОБРАЗОВАТЕЛЬНЫХ ОРГАНИЗАЦИЯХ, ОБЩЕДОСТУПНОГО И БЕСПЛАТНОГО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ДОШКОЛЬНОГО, НАЧАЛЬНОГО ОБЩЕГО, ОСНОВНОГО ОБЩЕГО, СРЕДНЕГО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ОБЩЕГО ОБРАЗОВАНИЯ В МУНИЦИПАЛЬНЫХ ОБЩЕОБРАЗОВАТЕЛЬНЫХ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ОРГАНИЗАЦИЯХ, ОБЕСПЕЧЕНИЕ ДОПОЛНИТЕЛЬНОГО ОБРАЗОВАНИЯ ДЕТЕЙ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МУНИЦИПАЛЬНЫХ ОБЩЕОБРАЗОВАТЕЛЬНЫХ ОРГАНИЗАЦИЯХ НА ПЛАНОВЫЙ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39"/>
        <w:gridCol w:w="1304"/>
        <w:gridCol w:w="1697"/>
        <w:gridCol w:w="1556"/>
        <w:gridCol w:w="1474"/>
        <w:gridCol w:w="1757"/>
        <w:gridCol w:w="1474"/>
      </w:tblGrid>
      <w:tr w:rsidR="00B41578" w:rsidTr="00FE00C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41578" w:rsidTr="00FE00C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B41578" w:rsidTr="00FE00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B41578" w:rsidTr="00FE00CA">
        <w:tc>
          <w:tcPr>
            <w:tcW w:w="737" w:type="dxa"/>
            <w:tcBorders>
              <w:top w:val="single" w:sz="4" w:space="0" w:color="auto"/>
            </w:tcBorders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9 926 097,0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3 058 901,7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6 867 195,3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10 178 264,5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3 137 832,7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7 040 431,8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233 536,4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61 822,1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171 714,3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239 587,5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63 376,1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176 211,4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113 619,4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26 267,6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87 351,8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116 510,7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26 898,4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89 612,3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112 769,3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17 847,6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94 921,7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115 753,9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18 350,8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97 403,1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200 559,0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57 653,2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142 905,8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205 717,0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59 136,8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146 580,2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398 943,0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109 671,6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289 271,4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409 079,0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112 520,8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296 558,2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127 655,9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31 341,0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96 314,9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131 006,7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32 175,8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98 830,9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239 950,5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55 431,5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184 519,0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246 121,9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56 899,1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189 222,8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241 870,3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67 974,4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173 895,9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248 096,4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69 754,7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178 341,7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82 998,5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12 182,7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70 815,8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85 095,2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12 459,2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72 636,0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316 525,3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91 791,1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224 734,2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324 633,8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94 205,6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230 428,2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544 785,3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236 145,5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308 639,8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558 559,4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242 217,4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316 342,0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237 801,2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47 452,2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190 349,0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243 931,4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48 716,0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195 215,4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144 445,6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32 606,3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111 839,3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148 161,3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33 489,3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114 672,0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330 033,3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88 188,5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241 844,8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338 461,7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90 466,1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247 995,6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224 343,8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53 678,0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170 665,8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230 143,4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55 085,6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175 057,8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256 776,1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63 061,1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193 715,0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263 345,3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64 646,4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198 698,9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142 002,3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26 779,5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115 222,8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145 643,5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27 433,0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118 210,5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282 215,1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70 062,2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212 152,9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289 388,3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71 832,9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217 555,4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144 766,3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27 089,5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117 676,8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148 505,7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27 756,2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120 749,5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195 627,3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58 715,6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136 911,7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200 688,6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60 249,8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140 438,8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262 954,1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76 167,3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186 786,8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269 757,6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78 174,6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191 583,0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20 330,6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8 298,0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12 032,6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20 840,3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8 525,9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12 314,4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143 820,7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40 095,8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103 724,9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147 468,9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41 088,3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106 380,6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195 123,5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46 093,7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149 029,8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200 135,7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47 316,7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152 819,0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221 345,8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55 320,3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166 025,5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226 988,2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56 787,5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170 200,7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313 620,9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76 759,5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236 861,4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321 617,7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78 695,4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242 922,3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571 019,8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148 834,0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422 185,8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585 591,0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152 717,9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432 873,1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95 706,7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23 127,7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72 579,0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98 202,9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23 744,1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74 458,8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365 608,8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92 667,3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272 941,5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374 959,6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95 022,0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279 937,6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142 886,1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43 282,5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99 603,6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146 638,0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44 432,9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102 205,1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219 386,9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47 382,3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172 004,6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225 071,7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48 646,2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176 425,5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261 697,0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96 445,5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165 251,5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268 415,9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98 972,2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169 443,7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142 537,7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50 095,9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92 441,8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146 134,1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51 364,0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94 770,1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2 318 596,5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983 167,8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1 335 428,7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2 375 715,4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1 008 371,3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1 367 344,1</w:t>
            </w:r>
          </w:p>
        </w:tc>
      </w:tr>
      <w:tr w:rsidR="00B41578" w:rsidTr="00FE00CA">
        <w:tc>
          <w:tcPr>
            <w:tcW w:w="737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139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80 238,0</w:t>
            </w:r>
          </w:p>
        </w:tc>
        <w:tc>
          <w:tcPr>
            <w:tcW w:w="169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35 402,9</w:t>
            </w:r>
          </w:p>
        </w:tc>
        <w:tc>
          <w:tcPr>
            <w:tcW w:w="1556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44 835,1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82 296,8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36 303,7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45 993,1</w:t>
            </w:r>
          </w:p>
        </w:tc>
      </w:tr>
    </w:tbl>
    <w:p w:rsidR="00B41578" w:rsidRDefault="00B41578" w:rsidP="00B41578">
      <w:pPr>
        <w:pStyle w:val="ConsPlusNormal"/>
        <w:sectPr w:rsidR="00B41578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10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СУБВЕНЦИЙ БЮДЖЕТАМ МУНИЦИПАЛЬНЫХ РАЙОНОВ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 ОСУЩЕСТВЛЕНИЕ ГОСУДАРСТВЕННЫХ ПОЛНОМОЧИЙ ПО РАСЧЕТУ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ПРЕДОСТАВЛЕНИЮ ДОТАЦИЙ БЮДЖЕТАМ ПОСЕЛЕНИЙ ЗА СЧЕТ СРЕДСТВ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БЮДЖЕТА КРАЯ, А ТАКЖЕ ПО УСТАНОВЛЕНИЮ НОРМАТИВОВ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ФОРМИРОВАНИЯ РАСХОДОВ НА ОПЛАТУ ТРУДА ДЕПУТАТОВ, ВЫБОРНЫХ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ДОЛЖНОСТНЫХ ЛИЦ МЕСТНОГО САМОУПРАВЛЕНИЯ ПОСЕЛЕНИЙ,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ОСУЩЕСТВЛЯЮЩИХ СВОИ ПОЛНОМОЧИЯ НА ПОСТОЯННОЙ ОСНОВЕ,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СЛУЖАЩИХ ПОСЕЛЕНИЙ И НА СОДЕРЖАНИЕ ОРГАНОВ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МЕСТНОГО САМОУПРАВЛЕНИЯ ПОСЕЛЕНИЙ И ПО СБОРУ С ПОСЕЛЕНИЙ,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ВХОДЯЩИХ В СОСТАВ МУНИЦИПАЛЬНОГО РАЙОНА, И ПРЕДСТАВЛЕНИЮ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КВАРТАЛЬНОЙ ОТЧЕТНОСТИ ПО ИСПОЛНЕНИЮ ГОСУДАРСТВЕННЫХ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ПОЛНОМОЧИЙ РОССИЙСКОЙ ФЕДЕРАЦИИ ПО ПЕРВИЧНОМУ ВОИНСКОМУ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УЧЕТУ В ПОСЕЛЕНИЯХ, МУНИЦИПАЛЬНЫХ И ГОРОДСКИХ ОКРУГАХ,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 ТЕРРИТОРИЯХ КОТОРЫХ ОТСУТСТВУЮТ СТРУКТУРНЫЕ ПОДРАЗДЕЛЕНИЯ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ВОЕННЫХ КОМИССАРИАТОВ, НА ПЛАНОВЫЙ ПЕРИОД 2022 И 2023 ГОДОВ</w:t>
      </w:r>
    </w:p>
    <w:p w:rsidR="00B41578" w:rsidRDefault="00B41578" w:rsidP="00B41578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41578" w:rsidRDefault="00B41578" w:rsidP="00B41578">
      <w:pPr>
        <w:pStyle w:val="ConsPlusNormal"/>
        <w:jc w:val="center"/>
      </w:pPr>
      <w:r>
        <w:t>от 01.04.2021 N 1921-ЗЗК)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159"/>
        <w:gridCol w:w="1644"/>
        <w:gridCol w:w="1645"/>
      </w:tblGrid>
      <w:tr w:rsidR="00B41578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5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5 426,2</w:t>
            </w:r>
          </w:p>
        </w:tc>
      </w:tr>
      <w:tr w:rsidR="00B41578" w:rsidTr="00FE00CA">
        <w:tc>
          <w:tcPr>
            <w:tcW w:w="57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5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198,0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178,0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182,0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198,0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152,0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252,5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259,0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134,0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137,0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152,0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121,0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163,0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167,0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198,0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152,0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223,5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228,0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212,0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223,0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228,0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104,0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107,0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223,5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228,0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212,0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282,5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289,0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163,0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167,0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198,0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208,0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213,0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104,0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107,0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152,0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178,0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182,0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267,0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274,0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342,0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350,2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121,0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159" w:type="dxa"/>
            <w:vAlign w:val="center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212,0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11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ЕДИНОЙ СУБВЕНЦИИ БЮДЖЕТАМ МУНИЦИПАЛЬНЫХ РАЙОНОВ,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И ГОРОДСКИХ ОКРУГОВ НА ПЛАНОВЫЙ ПЕРИОД 2022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2023 ГОДОВ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sectPr w:rsidR="00B41578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082"/>
        <w:gridCol w:w="1162"/>
        <w:gridCol w:w="2098"/>
        <w:gridCol w:w="1531"/>
        <w:gridCol w:w="1474"/>
        <w:gridCol w:w="1091"/>
        <w:gridCol w:w="2154"/>
        <w:gridCol w:w="1587"/>
        <w:gridCol w:w="1531"/>
      </w:tblGrid>
      <w:tr w:rsidR="00B41578" w:rsidTr="00FE00CA"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2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41578" w:rsidTr="00FE00CA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B41578" w:rsidTr="00FE00C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10</w:t>
            </w:r>
          </w:p>
        </w:tc>
      </w:tr>
      <w:tr w:rsidR="00B41578" w:rsidTr="00FE00CA">
        <w:tc>
          <w:tcPr>
            <w:tcW w:w="598" w:type="dxa"/>
            <w:tcBorders>
              <w:top w:val="single" w:sz="4" w:space="0" w:color="auto"/>
            </w:tcBorders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29 271,0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29 994,9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26 954,6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3 004,6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35,7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607,8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498,3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622,9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510,6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549,0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466,8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562,5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478,3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527,0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472,2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483,8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599,8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513,4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614,5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526,0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4,3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1 068,9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983,7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1 094,4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1 007,1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3,1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566,4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580,3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496,1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612,0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475,1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627,3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486,9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568,3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513,5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582,4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515,5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460,7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528,3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472,1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1 077,0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1 020,5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1 103,7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1 045,7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1,8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1 218,4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1 081,5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1 248,6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1 108,2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673,7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536,8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690,4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550,0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573,2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489,3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587,3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501,4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1,7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1 162,1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970,4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191,7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1 191,0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994,4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196,6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546,7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517,6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560,2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530,4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1,7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1 105,8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996,3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1 133,2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1 020,9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525,1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470,3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481,9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1 138,0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1 049,8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6,0</w:t>
            </w: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1 166,2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1 075,8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6,2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546,2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464,0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559,7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475,5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608,3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623,3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539,1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612,4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530,2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627,4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543,2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553,5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567,5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539,4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629,5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574,7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589,2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586,3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504,1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600,8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516,6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1 042,0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958,5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1 067,6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982,1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1,3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1 180,3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1 069,5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1 209,5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1 095,9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1,3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1 700,0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1 617,8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1 741,8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1 657,6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523,1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468,3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536,0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479,8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1 125,6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1 041,7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1 153,3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1 067,4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1,7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632,4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605,0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648,3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620,2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601,1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518,9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615,9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531,7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615,1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476,1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630,3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487,7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2,2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530,9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476,1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544,0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487,8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3 672,6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3 498,9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163,6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3 764,2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3 585,1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168,7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10,4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62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477,0</w:t>
            </w:r>
          </w:p>
        </w:tc>
        <w:tc>
          <w:tcPr>
            <w:tcW w:w="209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449,6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09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215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8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</w:tbl>
    <w:p w:rsidR="00B41578" w:rsidRDefault="00B41578" w:rsidP="00B41578">
      <w:pPr>
        <w:pStyle w:val="ConsPlusNormal"/>
        <w:sectPr w:rsidR="00B41578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12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ДЛЯ ОСУЩЕСТВЛЕНИЯ ОТДЕЛЬНЫХ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ПОЛНОМОЧИЙ В СФЕРЕ ТРУДА НА ПЛАНОВЫЙ ПЕРИОД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046"/>
        <w:gridCol w:w="1361"/>
        <w:gridCol w:w="1361"/>
      </w:tblGrid>
      <w:tr w:rsidR="00B41578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B41578" w:rsidTr="00FE00CA">
        <w:tc>
          <w:tcPr>
            <w:tcW w:w="57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046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353,0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357,5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169,0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188,0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385,0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393,0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393,0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351,0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392,0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390,0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352,0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98,0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205,0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177,0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369,0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391,0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388,0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371,0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224,0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370,0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377,0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196,0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1 364,5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1 410,0</w:t>
            </w: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046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177,0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180,0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13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ОКРУГОВ, ОТДЕЛЬНЫХ ПОСЕЛЕНИЙ НА ОСУЩЕСТВЛЕНИЕ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ГОСУДАРСТВЕННОГО ПОЛНОМОЧИЯ ПО СОЗДАНИЮ АДМИНИСТРАТИВНЫХ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КОМИССИЙ, РАССМАТРИВАЮЩИХ ДЕЛА ОБ АДМИНИСТРАТИВНЫХ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ПРАВОНАРУШЕНИЯХ, ПРЕДУСМОТРЕННЫХ ЗАКОНАМИ ЗАБАЙКАЛЬСКОГО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КРАЯ, 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2"/>
        <w:gridCol w:w="1361"/>
        <w:gridCol w:w="1361"/>
      </w:tblGrid>
      <w:tr w:rsidR="00B41578" w:rsidTr="00FE00C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680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264,0</w:t>
            </w:r>
          </w:p>
        </w:tc>
      </w:tr>
      <w:tr w:rsidR="00B41578" w:rsidTr="00FE00CA">
        <w:tc>
          <w:tcPr>
            <w:tcW w:w="680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3,4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0,4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0,4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0,6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6,6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2,4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1,8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3,8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2,1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0,6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2,8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10.1.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1,9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27,6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26,7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1,8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0,4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3,4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3,6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1,2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0,6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0,9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0,6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1,7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9,0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7,8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0,5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8,4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0,9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9,6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6,2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0,4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11,7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2,1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0,9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0,8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3,1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1,4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0,4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1,8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3,6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6,0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137,3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4,1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14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И МУНИЦИПАЛЬНОГО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ОКРУГА НА ОСУЩЕСТВЛЕНИЕ ГОСУДАРСТВЕННЫХ ПОЛНОМОЧИЙ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ПО РЕГИСТРАЦИИ И УЧЕТУ ГРАЖДАН РОССИЙСКОЙ ФЕДЕРАЦИИ,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ВЫЕЗЖАЮЩИХ ИЗ КАЛАРСКОГО МУНИЦИПАЛЬНОГО ОКРУГА,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 "ТУНГИРО-ОЛЕКМИНСКИЙ РАЙОН"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"ТУНГОКОЧЕНСКИЙ РАЙОН" И ИМЕЮЩИХ ПРАВО НА ПОЛУЧЕНИЕ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ЕДИНОВРЕМЕННОЙ СОЦИАЛЬНОЙ ВЫПЛАТЫ НА ПРИОБРЕТЕНИЕ ИЛИ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СТРОИТЕЛЬСТВО ЖИЛОГО ПОМЕЩЕНИЯ, НА ПЛАНОВЫЙ ПЕРИОД 2022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2"/>
        <w:gridCol w:w="1361"/>
        <w:gridCol w:w="1361"/>
      </w:tblGrid>
      <w:tr w:rsidR="00B41578" w:rsidTr="00FE00C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680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945,5</w:t>
            </w:r>
          </w:p>
        </w:tc>
      </w:tr>
      <w:tr w:rsidR="00B41578" w:rsidTr="00FE00CA">
        <w:tc>
          <w:tcPr>
            <w:tcW w:w="680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65,0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67,0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559,3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572,5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298,4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306,0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15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И МУНИЦИПАЛЬНОГО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ОКРУГА НА ОСУЩЕСТВЛЕНИЕ ГОСУДАРСТВЕННОГО ПОЛНОМОЧИЯ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ПО МАТЕРИАЛЬНО-ТЕХНИЧЕСКОМУ И ФИНАНСОВОМУ ОБЕСПЕЧЕНИЮ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ОКАЗАНИЯ ЮРИДИЧЕСКОЙ ПОМОЩИ АДВОКАТАМИ В ТРУДНОДОСТУПНЫХ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МАЛОНАСЕЛЕННЫХ МЕСТНОСТЯХ ЗАБАЙКАЛЬСКОГО КРАЯ НА ПЛАНОВЫЙ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2"/>
        <w:gridCol w:w="1361"/>
        <w:gridCol w:w="1361"/>
      </w:tblGrid>
      <w:tr w:rsidR="00B41578" w:rsidTr="00FE00C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680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416,8</w:t>
            </w:r>
          </w:p>
        </w:tc>
      </w:tr>
      <w:tr w:rsidR="00B41578" w:rsidTr="00FE00CA">
        <w:tc>
          <w:tcPr>
            <w:tcW w:w="680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19,0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89,0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90,2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182,7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187,0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26,0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69,5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71,1</w:t>
            </w:r>
          </w:p>
        </w:tc>
      </w:tr>
      <w:tr w:rsidR="00B41578" w:rsidTr="00FE00CA">
        <w:tc>
          <w:tcPr>
            <w:tcW w:w="680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22,9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23,5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16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ПОСЕЛЕНИЙ, МУНИЦИПАЛЬНЫХ И ГОРОДСКИХ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 НА ОСУЩЕСТВЛЕНИЕ ГОСУДАРСТВЕННЫХ ПОЛНОМОЧИЙ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НА ОСУЩЕСТВЛЕНИЕ ПЕРВИЧНОГО ВОИНСКОГО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УЧЕТА В ПОСЕЛЕНИЯХ, МУНИЦИПАЛЬНЫХ И ГОРОДСКИХ ОКРУГАХ,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 ТЕРРИТОРИЯХ КОТОРЫХ ОТСУТСТВУЮТ СТРУКТУРНЫЕ ПОДРАЗДЕЛЕНИЯ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ВОЕННЫХ КОМИССАРИАТОВ, 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41578" w:rsidTr="00FE00C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</w:tcBorders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</w:tcBorders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2 461,6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2 560,5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1 800,6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1 860,0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1 807,6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1 872,3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1 229,7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1 253,7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2 917,1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3 050,5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1 076,3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1 156,6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1 447,6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1 498,3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6.8.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1 600,7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1 649,3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2 198,8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2 323,7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1 076,3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1 156,6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1 596,3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1 653,5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lastRenderedPageBreak/>
              <w:t>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2 331,3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2 432,4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1 229,2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1 258,9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2 206,7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2 275,2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12.11.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1 651,8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1 696,5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2 642,0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2 740,6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711,4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771,1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lastRenderedPageBreak/>
              <w:t>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1 395,7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1 490,9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423,2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153,3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157,1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161,4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423,2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164,9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164,9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1 920,1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1 969,8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2 123,8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2 186,5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17.12.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2 876,2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2 976,4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1 710,1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1 765,9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2 392,8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2 501,4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2 150,7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2 237,4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348,2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355,5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176,0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179,5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1 796,0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1 864,8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498,5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525,5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498,5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521,8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23.3.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176,0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179,5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179,5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97,6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103,0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179,5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1 460,9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1 511,1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2 238,2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2 362,0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26.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3 194,9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3 346,7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423,2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164,9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423,2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153,3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153,3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26.7.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145,7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423,2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84,0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88,5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153,3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157,1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161,4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27.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5 843,1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6 182,6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771,1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771,1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942,5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965,2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2 600,2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2 722,0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771,1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150,8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147,6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140,2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1 617,9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1 728,3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31.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1 874,6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1 931,7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385,5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17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ОБЕСПЕЧЕНИЕ ЛЬГОТНЫМ ПИТАНИЕМ ДЕТЕЙ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ИЗ МАЛОИМУЩИХ СЕМЕЙ, ОБУЧАЮЩИХСЯ В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ОБЩЕОБРАЗОВАТЕЛЬНЫХ ОРГАНИЗАЦИЯХ ЗАБАЙКАЛЬСКОГО КРАЯ,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41578" w:rsidTr="00FE00C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174 091,2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5 513,5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5 653,5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3 781,3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3 877,4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2 350,1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2 409,8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3 504,8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3 593,9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5 302,0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5 436,7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3 350,3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3 435,5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12 441,8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12 757,9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2 846,2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2 918,5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2 089,9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2 143,0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4 895,4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5 019,8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3 805,7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3 902,4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6 863,3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7 037,7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4 375,0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4 486,1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13 791,7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14 142,1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902,7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925,6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9 587,6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9 831,1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2 846,2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2 918,5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5 879,4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6 028,7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3 480,5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3 568,9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4 765,3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4 886,4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4 749,0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4 869,7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504,2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517,0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2 155,0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2 209,7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5 529,7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5 670,2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3 911,4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4 010,9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4 838,5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4 961,4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4 895,5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5 019,8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1 967,9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2 017,9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5 163,7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5 294,9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1 146,6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1 175,7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4 513,2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4 627,9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11 279,0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11 565,5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3 016,9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3 093,6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13 328,2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13 666,6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406,6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416,9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18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ПРЕДОСТАВЛЕНИЕ КОМПЕНСАЦИИ ЧАСТИ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ПЛАТЫ, ВЗИМАЕМОЙ С РОДИТЕЛЕЙ (ЗАКОННЫХ ПРЕДСТАВИТЕЛЕЙ)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ЗА ПРИСМОТР И УХОД ЗА ДЕТЬМИ, ОСВАИВАЮЩИМИ ОБРАЗОВАТЕЛЬНЫЕ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ПРОГРАММЫ ДОШКОЛЬНОГО ОБРАЗОВАНИЯ В ОБРАЗОВАТЕЛЬНЫХ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ОРГАНИЗАЦИЯХ, 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41578" w:rsidTr="00FE00C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1 625,9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1 667,2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404,6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414,9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284,4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291,7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666,4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683,4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1 123,1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1 151,6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194,1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199,1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1 754,3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1 798,9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496,4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508,9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175,4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179,9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884,7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907,2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2 414,1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2 475,5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1 611,0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1 651,9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487,4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499,8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3 334,1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3 418,7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155,2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1 380,2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1 415,2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472,6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484,6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693,5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711,1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737,1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580,8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595,5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1 159,7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1 189,2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101,0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573,9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609,1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624,6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390,8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400,7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950,1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974,2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919,5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942,9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353,8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362,8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750,9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769,9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71,2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73,0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501,1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2 640,1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2 707,3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780,4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800,2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4 611,1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4 728,2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125,2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128,4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19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ГОСУДАРСТВЕННОГО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ПОЛНОМОЧИЯ ПО ОРГАНИЗАЦИИ И ОСУЩЕСТВЛЕНИЮ ДЕЯТЕЛЬНОСТИ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ПО ОПЕКЕ И ПОПЕЧИТЕЛЬСТВУ НАД НЕСОВЕРШЕННОЛЕТНИМИ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sectPr w:rsidR="00B41578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082"/>
        <w:gridCol w:w="1304"/>
        <w:gridCol w:w="1757"/>
        <w:gridCol w:w="2494"/>
        <w:gridCol w:w="1304"/>
        <w:gridCol w:w="1814"/>
        <w:gridCol w:w="2438"/>
      </w:tblGrid>
      <w:tr w:rsidR="00B41578" w:rsidTr="00FE00CA"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5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41578" w:rsidTr="00FE00CA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B41578" w:rsidTr="00FE00C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B41578" w:rsidTr="00FE00CA">
        <w:tc>
          <w:tcPr>
            <w:tcW w:w="598" w:type="dxa"/>
            <w:tcBorders>
              <w:top w:val="single" w:sz="4" w:space="0" w:color="auto"/>
            </w:tcBorders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531 431,9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544 684,9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446 829,2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10 902,3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8 850,0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2 052,3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11 172,9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9 070,0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2 102,9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5 857,7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957,7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6 001,4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5 020,0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981,4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3 672,8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2 980,0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692,8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3 759,9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3 050,0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709,9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7 158,7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5 380,0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7 342,5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5 520,0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1 822,5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20 068,7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15 280,0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4 788,7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20 556,7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15 650,0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4 906,7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5 986,4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5 020,0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966,4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6 130,3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5 140,0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990,3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13 848,7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12 070,0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14 202,5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12 380,0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1 822,5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13 299,1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11 110,0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13 633,1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11 390,0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2 243,1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4 430,9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3 610,0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820,9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4 531,2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3 690,0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841,2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14 517,3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10 960,0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3 557,3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14 885,0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11 240,0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3 645,0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45 904,6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40 560,0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5 344,6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47 036,4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41 560,0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5 476,4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10 860,0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9 090,0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1 770,0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11 123,6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9 310,0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1 813,6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11 251,4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10 020,0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1 231,4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11 521,7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10 260,0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1 261,7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14 075,5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10 920,0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3 155,5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14 413,3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11 180,0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3 233,3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9 258,4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6 660,0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2 598,4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9 482,5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6 820,0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2 662,5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13 412,2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10 830,0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2 582,2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13 735,9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11 090,0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2 645,9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6 837,7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957,7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7 001,4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6 020,0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981,4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23 116,6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20 200,0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2 916,6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23 688,5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20 700,0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2 988,5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6 694,6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5 600,0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1 094,6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6 861,5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5 740,0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1 121,5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12 208,7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10 430,0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12 502,5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10 680,0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1 822,5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11 805,9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9 480,0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2 325,9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12 093,3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9 710,0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2 383,3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379,4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159,4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383,4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163,4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5 765,4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4 490,0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1 275,4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5 906,9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4 600,0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1 306,9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12 566,8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10 660,0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1 906,8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12 883,8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10 930,0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1 953,8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16 736,4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14 000,0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2 736,4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17 153,9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14 350,0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2 803,9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17 884,6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14 140,0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3 744,6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18 336,9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14 500,0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3 836,9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44 587,6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37 353,6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7 234,0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45 721,8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38 309,4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7 412,4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5 260,9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4 440,0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820,9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5 391,2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4 550,0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841,2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23 054,1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19 360,0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3 694,1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23 625,2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19 840,0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3 785,2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8 917,0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7 870,0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1 047,0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9 132,8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8 060,0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1 072,8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11 076,8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9 170,0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1 906,8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11 353,8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9 400,0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1 953,8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8 407,3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6 620,0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1 787,3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8 621,4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6 790,0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1 831,4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8 211,4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6 980,0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1 231,4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8 411,7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7 150,0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1 261,7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101 311,9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79 377,4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21 934,5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103 935,1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81 459,8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22 475,3</w:t>
            </w:r>
          </w:p>
        </w:tc>
      </w:tr>
      <w:tr w:rsidR="00B41578" w:rsidTr="00FE00CA">
        <w:tc>
          <w:tcPr>
            <w:tcW w:w="59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2 104,1</w:t>
            </w:r>
          </w:p>
        </w:tc>
        <w:tc>
          <w:tcPr>
            <w:tcW w:w="1757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1 420,0</w:t>
            </w:r>
          </w:p>
        </w:tc>
        <w:tc>
          <w:tcPr>
            <w:tcW w:w="249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684,1</w:t>
            </w:r>
          </w:p>
        </w:tc>
        <w:tc>
          <w:tcPr>
            <w:tcW w:w="130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2 150,9</w:t>
            </w:r>
          </w:p>
        </w:tc>
        <w:tc>
          <w:tcPr>
            <w:tcW w:w="181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1 450,0</w:t>
            </w:r>
          </w:p>
        </w:tc>
        <w:tc>
          <w:tcPr>
            <w:tcW w:w="2438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700,9</w:t>
            </w:r>
          </w:p>
        </w:tc>
      </w:tr>
    </w:tbl>
    <w:p w:rsidR="00B41578" w:rsidRDefault="00B41578" w:rsidP="00B41578">
      <w:pPr>
        <w:pStyle w:val="ConsPlusNormal"/>
        <w:sectPr w:rsidR="00B41578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20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НА ПРЕДОСТАВЛЕНИЕ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ДОТАЦИЙ БЮДЖЕТАМ ПОСЕЛЕНИЙ НА ВЫРАВНИВАНИЕ БЮДЖЕТНОЙ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ОБЕСПЕЧЕННОСТИ 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41578" w:rsidTr="00FE00C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94 194,0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2 418,0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2 418,0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1 294,0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1 294,0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1 046,0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1 046,0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2 553,0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2 553,0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6 977,0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6 977,0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1 249,0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1 249,0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2 075,0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2 075,0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3 121,0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3 121,0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1 069,0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1 069,0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5 105,0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5 105,0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8 559,0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8 559,0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2 584,0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2 584,0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1 757,0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1 757,0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3 754,0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3 754,0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3 533,0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3 533,0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3 969,0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3 969,0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1 321,0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1 321,0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5 136,0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5 136,0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1 370,0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1 370,0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2 475,0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3 132,0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3 132,0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173,0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1 632,0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1 632,0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2 667,0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2 667,0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4 067,0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4 067,0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4 733,0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4 733,0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9 736,0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9 736,0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962,0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962,0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5 727,0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5 727,0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21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ГОСУДАРСТВЕННОГО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ПОЛНОМОЧИЯ ПО ОРГАНИЗАЦИИ СОЦИАЛЬНОЙ ПОДДЕРЖКИ ОТДЕЛЬНЫХ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КАТЕГОРИЙ ГРАЖДАН ПУТЕМ ОБЕСПЕЧЕНИЯ ЛЬГОТНОГО ПРОЕЗДА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 ГОРОДСКОМ И ПРИГОРОДНОМ ПАССАЖИРСКОМ ТРАНСПОРТЕ ОБЩЕГО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ПОЛЬЗОВАНИЯ (КРОМЕ ВОЗДУШНОГО И ЖЕЛЕЗНОДОРОЖНОГО)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sectPr w:rsidR="00B41578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082"/>
        <w:gridCol w:w="1223"/>
        <w:gridCol w:w="2363"/>
        <w:gridCol w:w="2324"/>
        <w:gridCol w:w="1209"/>
        <w:gridCol w:w="2375"/>
        <w:gridCol w:w="2665"/>
      </w:tblGrid>
      <w:tr w:rsidR="00B41578" w:rsidTr="00FE00C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2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41578" w:rsidTr="00FE00C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B41578" w:rsidTr="00FE00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B41578" w:rsidTr="00FE00CA">
        <w:tc>
          <w:tcPr>
            <w:tcW w:w="568" w:type="dxa"/>
            <w:tcBorders>
              <w:top w:val="single" w:sz="4" w:space="0" w:color="auto"/>
            </w:tcBorders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90 675,5</w:t>
            </w:r>
          </w:p>
        </w:tc>
        <w:tc>
          <w:tcPr>
            <w:tcW w:w="2363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92 911,4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92 858,0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53,4</w:t>
            </w: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1 966,6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1 964,6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2 044,1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2 042,1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2,0</w:t>
            </w: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785,0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784,7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816,3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816,0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522,0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521,7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542,9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542,6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2 797,3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2 795,3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2 909,0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2 907,0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2,0</w:t>
            </w: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19 775,4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19 770,4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20 565,0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20 560,0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5,0</w:t>
            </w: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362,9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362,9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2 883,2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2 882,2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2 998,5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2 997,5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667,9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667,9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694,5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694,5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2 270,9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2 269,9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2 361,6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2 360,6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11 745,5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11 740,5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12 215,0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12 210,0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5,0</w:t>
            </w: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0,6</w:t>
            </w: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525,8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547,1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546,8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1 126,7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1 125,7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1 171,0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1 170,0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200,3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208,2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207,9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0,3</w:t>
            </w: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44 917,1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44 883,8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33,3</w:t>
            </w: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45 327,0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45 292,4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34,6</w:t>
            </w:r>
          </w:p>
        </w:tc>
      </w:tr>
      <w:tr w:rsidR="00B41578" w:rsidTr="00FE00CA">
        <w:tc>
          <w:tcPr>
            <w:tcW w:w="568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2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363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32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209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62,4</w:t>
            </w:r>
          </w:p>
        </w:tc>
        <w:tc>
          <w:tcPr>
            <w:tcW w:w="2375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62,4</w:t>
            </w:r>
          </w:p>
        </w:tc>
        <w:tc>
          <w:tcPr>
            <w:tcW w:w="266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</w:tbl>
    <w:p w:rsidR="00B41578" w:rsidRDefault="00B41578" w:rsidP="00B41578">
      <w:pPr>
        <w:pStyle w:val="ConsPlusNormal"/>
        <w:sectPr w:rsidR="00B41578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22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ПРЕДОСТАВЛЕНИЕ КОМПЕНСАЦИИ ЗАТРАТ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РОДИТЕЛЕЙ (ЗАКОННЫХ ПРЕДСТАВИТЕЛЕЙ) ДЕТЕЙ-ИНВАЛИДОВ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 ОБУЧЕНИЕ ПО ОСНОВНЫМ ОБЩЕОБРАЗОВАТЕЛЬНЫМ ПРОГРАММАМ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 ДОМУ 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41578" w:rsidTr="00FE00C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193,7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198,7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327,6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335,9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80,5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226,4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232,2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477,5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489,6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161,0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165,0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65,4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67,2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342,4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351,1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98,2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100,7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161,0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165,0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33,5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193,7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198,7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33,5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65,4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67,2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211,5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216,8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601,7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616,9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128,3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131,5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211,5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216,8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281,0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288,2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2 086,7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2 139,8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180,5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23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ПОЛНОМОЧИЙ ПО ОРГАНИЗАЦИИ ПРОВЕДЕНИЯ НА ТЕРРИТОРИИ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ЗАБАЙКАЛЬСКОГО КРАЯ МЕРОПРИЯТИЙ ПО СОДЕРЖАНИЮ БЕЗНАДЗОРНЫХ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ЖИВОТНЫХ, ЗА ИСКЛЮЧЕНИЕМ ВОПРОСОВ, РЕШЕНИЕ КОТОРЫХ ОТНЕСЕНО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К ВЕДЕНИЮ РОССИЙСКОЙ ФЕДЕРАЦИИ, НА ПЛАНОВЫЙ ПЕРИОД 2022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И 2023 ГОДОВ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ind w:firstLine="540"/>
        <w:jc w:val="both"/>
      </w:pPr>
      <w:r>
        <w:t xml:space="preserve">Утратило силу. - </w:t>
      </w:r>
      <w:hyperlink r:id="rId9" w:history="1">
        <w:r>
          <w:rPr>
            <w:color w:val="0000FF"/>
          </w:rPr>
          <w:t>Закон</w:t>
        </w:r>
      </w:hyperlink>
      <w:r>
        <w:t xml:space="preserve"> Забайкальского края от 01.04.2021 N 1921-ЗЗК.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24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НА ОСУЩЕСТВЛЕНИЕ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ОТДЕЛЬНЫХ ГОСУДАРСТВЕННЫХ ПОЛНОМОЧИЙ В СФЕРЕ ОРГАНИЗАЦИИ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ТРАНСПОРТНОГО ОБСЛУЖИВАНИЯ НАСЕЛЕНИЯ АВТОМОБИЛЬНЫМ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ТРАНСПОРТОМ В МЕЖМУНИЦИПАЛЬНОМ СООБЩЕНИИ В ЧАСТИ ОРГАНИЗАЦИИ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РЕГУЛЯРНЫХ ПЕРЕВОЗОК ПАССАЖИРОВ И БАГАЖА АВТОМОБИЛЬНЫМ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ТРАНСПОРТОМ ПО МЕЖМУНИЦИПАЛЬНЫМ МАРШРУТАМ РЕГУЛЯРНЫХ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ПЕРЕВОЗОК В ГРАНИЦАХ МУНИЦИПАЛЬНОГО РАЙОНА "АГИНСКИЙ РАЙОН"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ГОРОДСКОГО ОКРУГА "ПОСЕЛОК АГИНСКОЕ", В ГРАНИЦАХ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МУНИЦИПАЛЬНОГО РАЙОНА "ПЕТРОВСК-ЗАБАЙКАЛЬСКИЙ РАЙОН"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ГОРОДСКОГО ОКРУГА "ГОРОД ПЕТРОВСК-ЗАБАЙКАЛЬСКИЙ",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 ГРАНИЦАХ МУНИЦИПАЛЬНОГО РАЙОНА "ЧИТИНСКИЙ РАЙОН"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ГОРОДСКОГО ОКРУГА "ГОРОД ЧИТА" НА ПЛАНОВЫЙ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41578" w:rsidTr="00FE00C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16,1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4,0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11,0</w:t>
            </w:r>
          </w:p>
        </w:tc>
        <w:tc>
          <w:tcPr>
            <w:tcW w:w="1361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11,4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25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 И ГОРОДСКИХ ОКРУГОВ НА ПРИОБРЕТЕНИЕ (СТРОИТЕЛЬСТВО)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ЖИЛЫХ ПОМЕЩЕНИЙ В ЦЕЛЯХ ИСПОЛНЕНИЯ ВСТУПИВШИХ В ЗАКОННУЮ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СИЛУ СУДЕБНЫХ ПОСТАНОВЛЕНИЙ О ПРЕДОСТАВЛЕНИИ ЖИЛЫХ ПОМЕЩЕНИЙ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ПО ДОГОВОРАМ СОЦИАЛЬНОГО НАЙМА ДЕТЯМ-СИРОТАМ И ДЕТЯМ,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ОСТАВШИМСЯ БЕЗ ПОПЕЧЕНИЯ РОДИТЕЛЕЙ, НА ПЛАНОВЫЙ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41578" w:rsidTr="00FE00C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37 282,3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4 394,5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4 502,9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3 496,8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3 583,0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1 336,4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1 369,4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951,1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974,6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1 208,0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1 237,8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8 364,3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8 570,6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330,6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338,8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506,9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519,4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418,8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429,1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1 345,4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1 378,4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14 032,3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14 378,3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26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ОБЕСПЕЧЕНИЕ ОТДЫХА, ОРГАНИЗАЦИЮ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ОБЕСПЕЧЕНИЕ ОЗДОРОВЛЕНИЯ ДЕТЕЙ В КАНИКУЛЯРНОЕ ВРЕМЯ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МУНИЦИПАЛЬНЫХ ОРГАНИЗАЦИЯХ ОТДЫХА ДЕТЕЙ И ИХ ОЗДОРОВЛЕНИЯ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41578" w:rsidTr="00FE00C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117 321,4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10 664,4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10 935,4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5 031,5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5 159,4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1 130,6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1 159,3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2 245,7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2 239,3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2 296,2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1 453,6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1 490,5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4 022,6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4 124,8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2 408,9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2 470,1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807,6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828,1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2 288,0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2 346,2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1 076,8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1 104,1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3 587,0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3 678,1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1 594,6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6 849,4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7 023,4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1 776,6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1 821,8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3 638,2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3 730,6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942,1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966,0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3 556,5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3 646,9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1 561,2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1 600,9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3 756,2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3 851,6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2 997,7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3 073,9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107,7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110,4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323,0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331,2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2 032,4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2 084,0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1 991,9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2 042,5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4 091,6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4 195,5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5 018,1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5 145,6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646,1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662,5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5 923,5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6 074,0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590,2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605,2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3 885,8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3 984,6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4 379,1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4 490,3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867,7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889,7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20 755,0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21 282,2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269,3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276,1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27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ПОЛНОМОЧИЙ ПО СОСТАВЛЕНИЮ (ИЗМЕНЕНИЮ) СПИСКОВ КАНДИДАТОВ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 ПРИСЯЖНЫЕ ЗАСЕДАТЕЛИ ФЕДЕРАЛЬНЫХ СУДОВ ОБЩЕЙ ЮРИСДИКЦИИ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 РОССИЙСКОЙ ФЕДЕРАЦИИ 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41578" w:rsidTr="00FE00C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320,8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25,9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74,9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88,5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167,5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61,6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89,1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65,1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153,1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98,4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45,3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76,4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100,8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3 310,0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415,8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28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РАЙОНОВ, МУНИЦИПАЛЬНЫХ И ГОРОДСКИХ ОКРУГОВ НА ОБЕСПЕЧЕНИЕ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ВЫПЛАТ РАЙОННЫХ КОЭФФИЦИЕНТОВ И ПРОЦЕНТНЫХ НАДБАВОК ЗА СТАЖ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РАБОТЫ В РАЙОНАХ КРАЙНЕГО СЕВЕРА И ПРИРАВНЕННЫХ К НИМ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МЕСТНОСТЯХ, А ТАКЖЕ ОСТАЛЬНЫХ РАЙОНАХ СЕВЕРА, ГДЕ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УСТАНОВЛЕНЫ РАЙОННЫЕ КОЭФФИЦИЕНТЫ К ЕЖЕМЕСЯЧНОМУ ДЕНЕЖНОМУ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ВОЗНАГРАЖДЕНИЮ, ЗА КЛАССНОЕ РУКОВОДСТВО ПЕДАГОГИЧЕСКИМ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РАБОТНИКАМ МУНИЦИПАЛЬНЫХ ОБЩЕОБРАЗОВАТЕЛЬНЫХ ОРГАНИЗАЦИЙ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41578" w:rsidTr="00FE00C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113 702,8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2 339,4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2 398,8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1 586,5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1 626,8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1 573,0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1 613,0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2 110,9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2 164,5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4 678,8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4 797,7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1 694,0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1 737,1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2 285,6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2 343,7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2 299,1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2 357,5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1 169,7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1 199,4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3 240,2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3 322,5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5 256,9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5 390,5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2 729,3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2 798,6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2 043,6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2 095,5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3 495,6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3 584,4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3 892,2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3 991,1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3 226,8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3 308,8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2 070,5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2 123,1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3 562,9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3 653,4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1 694,0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1 737,1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2 043,6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2 095,5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3 011,6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3 088,2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161,3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165,4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1 317,6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1 351,1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2 164,6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2 219,6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2 742,7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2 812,4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5 364,5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5 500,8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6 816,5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6 989,7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1 021,8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1 047,7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4 194,8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4 301,3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1 882,3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1 930,1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2 568,0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2 633,2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2 312,5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2 371,2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1 532,7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1 571,6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22 170,4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22 733,6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631,9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647,9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29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ИНЫХ МЕЖБЮДЖЕТНЫХ ТРАНСФЕРТОВ БЮДЖЕТАМ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РАЙОНОВ, МУНИЦИПАЛЬНЫХ И ГОРОДСКИХ ОКРУГОВ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 ЦЕЛЯХ ФИНАНСОВОГО ОБЕСПЕЧЕНИЯ ДОРОЖНОЙ ДЕЯТЕЛЬНОСТИ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В РАМКАХ РЕАЛИЗАЦИИ РЕГИОНАЛЬНОГО ПРОЕКТА "ДОРОЖНАЯ СЕТЬ"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НАЦИОНАЛЬНОГО ПРОЕКТА "БЕЗОПАСНЫЕ И КАЧЕСТВЕННЫЕ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АВТОМОБИЛЬНЫЕ ДОРОГИ" НА ПЛАНОВЫЙ ПЕРИОД 2022 И 2023 ГОДОВ</w:t>
      </w:r>
    </w:p>
    <w:p w:rsidR="00B41578" w:rsidRDefault="00B41578" w:rsidP="00B41578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41578" w:rsidRDefault="00B41578" w:rsidP="00B41578">
      <w:pPr>
        <w:pStyle w:val="ConsPlusNormal"/>
        <w:jc w:val="center"/>
      </w:pPr>
      <w:r>
        <w:t>от 01.04.2021 N 1921-ЗЗК)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159"/>
        <w:gridCol w:w="1644"/>
        <w:gridCol w:w="1645"/>
      </w:tblGrid>
      <w:tr w:rsidR="00B41578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5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B41578" w:rsidTr="00FE00CA">
        <w:tc>
          <w:tcPr>
            <w:tcW w:w="57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5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45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220 475,2</w:t>
            </w:r>
          </w:p>
        </w:tc>
        <w:tc>
          <w:tcPr>
            <w:tcW w:w="1645" w:type="dxa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575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44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576 249,6</w:t>
            </w:r>
          </w:p>
        </w:tc>
        <w:tc>
          <w:tcPr>
            <w:tcW w:w="1645" w:type="dxa"/>
          </w:tcPr>
          <w:p w:rsidR="00B41578" w:rsidRDefault="00B41578" w:rsidP="00FE00CA">
            <w:pPr>
              <w:pStyle w:val="ConsPlusNormal"/>
            </w:pP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30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РАЙОНОВ, МУНИЦИПАЛЬНЫХ И ГОРОДСКИХ ОКРУГОВ НА ЕЖЕМЕСЯЧНОЕ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ДЕНЕЖНОЕ ВОЗНАГРАЖДЕНИЕ ЗА КЛАССНОЕ РУКОВОДСТВО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ПЕДАГОГИЧЕСКИМ РАБОТНИКАМ МУНИЦИПАЛЬНЫХ ОБЩЕОБРАЗОВАТЕЛЬНЫХ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 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41578" w:rsidTr="00FE00C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938 255,1</w:t>
            </w:r>
          </w:p>
        </w:tc>
      </w:tr>
      <w:tr w:rsidR="00B41578" w:rsidTr="00FE00CA">
        <w:tc>
          <w:tcPr>
            <w:tcW w:w="79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498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20 539,3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20 539,3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13 827,2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13 827,2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13 710,1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13 710,1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18 397,3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18 397,3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40 778,6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40 778,6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14 764,7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19 920,6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19 920,6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20 037,8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20 037,8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10 194,7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10 194,7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28 240,4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28 240,4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45 817,4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45 817,4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23 787,5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23 787,5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17 811,4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30 616,8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30 616,8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22 615,7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22 615,7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28 123,2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28 123,2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18 045,7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18 045,7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31 052,7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31 052,7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14 764,7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17 811,4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26 248,3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26 248,3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1 687,4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1 687,4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13 780,4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13 780,4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18 866,0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18 866,0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23 904,7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23 904,7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31 169,9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31 169,9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59 810,3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59 810,3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8 905,7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8 905,7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36 560,2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36 560,2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9 843,1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9 843,1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22 381,4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22 381,4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20 155,0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20 155,0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13 358,5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13 358,5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195 219,5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195 219,5</w:t>
            </w:r>
          </w:p>
        </w:tc>
      </w:tr>
      <w:tr w:rsidR="00B41578" w:rsidTr="00FE00CA">
        <w:tc>
          <w:tcPr>
            <w:tcW w:w="79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5 507,5</w:t>
            </w:r>
          </w:p>
        </w:tc>
        <w:tc>
          <w:tcPr>
            <w:tcW w:w="1361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5 507,5</w:t>
            </w: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31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СУБВЕНЦИЙ БЮДЖЕТАМ МУНИЦИПАЛЬНЫХ РАЙОНОВ,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И ГОРОДСКИХ ОКРУГОВ НА ОСУЩЕСТВЛЕНИЕ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ГОСУДАРСТВЕННОГО ПОЛНОМОЧИЯ ПО ОРГАНИЗАЦИИ МЕРОПРИЯТИЙ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ПРИ ОСУЩЕСТВЛЕНИИ ДЕЯТЕЛЬНОСТИ ПО ОБРАЩЕНИЮ С ЖИВОТНЫМИ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БЕЗ ВЛАДЕЛЬЦЕВ НА ПЛАНОВЫЙ ПЕРИОД 2022 И 2023 ГОДОВ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sectPr w:rsidR="00B41578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684"/>
        <w:gridCol w:w="1864"/>
        <w:gridCol w:w="964"/>
        <w:gridCol w:w="1684"/>
        <w:gridCol w:w="1864"/>
      </w:tblGrid>
      <w:tr w:rsidR="00B41578" w:rsidTr="00FE00C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41578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B41578" w:rsidTr="00FE00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B41578" w:rsidTr="00FE00CA">
        <w:tc>
          <w:tcPr>
            <w:tcW w:w="454" w:type="dxa"/>
            <w:tcBorders>
              <w:top w:val="single" w:sz="4" w:space="0" w:color="auto"/>
            </w:tcBorders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</w:tcBorders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27 038,2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28 908,7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25 999,3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2 909,4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3799" w:type="dxa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424,3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343,2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452,9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225,6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326,1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243,0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272,1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191,0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290,1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354,2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273,1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375,9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292,8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1 056,8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975,7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1 132,4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1 049,3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214,8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314,9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424,3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343,2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452,9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378,0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296,9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400,8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274,2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193,1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292,6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209,5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609,0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649,4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566,3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1 335,4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1 430,7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1 347,6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518,2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437,1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554,9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471,8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308,6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416,9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333,8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621,7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751,3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668,2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574,4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493,3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613,3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530,2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719,0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637,9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768,1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685,0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308,8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227,7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328,6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245,5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965,1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884,0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1 032,9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949,8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238,5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339,8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256,7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498,9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417,8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530,7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447,6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447,0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365,9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476,6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393,5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104,9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23,8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108,0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24,9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214,8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314,9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518,2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437,1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554,9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471,8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621,9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540,8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663,1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580,0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860,4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779,3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919,8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1 622,3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1 541,2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1 742,1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1 659,0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238,5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339,8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256,7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1 032,8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951,7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1 107,5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1 024,4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</w:tcPr>
          <w:p w:rsidR="00B41578" w:rsidRDefault="00B41578" w:rsidP="00FE00C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274,2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193,1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292,6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209,5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</w:tcPr>
          <w:p w:rsidR="00B41578" w:rsidRDefault="00B41578" w:rsidP="00FE00C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563,6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482,5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602,1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519,0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</w:tcPr>
          <w:p w:rsidR="00B41578" w:rsidRDefault="00B41578" w:rsidP="00FE00C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644,5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563,4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690,4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607,3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614,4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533,3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655,0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571,9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7 943,0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7 861,0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8 508,9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8 424,9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84,0</w:t>
            </w:r>
          </w:p>
        </w:tc>
      </w:tr>
      <w:tr w:rsidR="00B41578" w:rsidTr="00FE00CA">
        <w:tc>
          <w:tcPr>
            <w:tcW w:w="454" w:type="dxa"/>
          </w:tcPr>
          <w:p w:rsidR="00B41578" w:rsidRDefault="00B41578" w:rsidP="00FE00CA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3799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448,1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367,0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477,8</w:t>
            </w:r>
          </w:p>
        </w:tc>
        <w:tc>
          <w:tcPr>
            <w:tcW w:w="168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394,7</w:t>
            </w:r>
          </w:p>
        </w:tc>
        <w:tc>
          <w:tcPr>
            <w:tcW w:w="1864" w:type="dxa"/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83,1</w:t>
            </w:r>
          </w:p>
        </w:tc>
      </w:tr>
    </w:tbl>
    <w:p w:rsidR="00B41578" w:rsidRDefault="00B41578" w:rsidP="00B41578">
      <w:pPr>
        <w:pStyle w:val="ConsPlusNormal"/>
        <w:sectPr w:rsidR="00B41578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right"/>
        <w:outlineLvl w:val="1"/>
      </w:pPr>
      <w:r>
        <w:t>Таблица 32</w:t>
      </w:r>
    </w:p>
    <w:p w:rsidR="00B41578" w:rsidRDefault="00B41578" w:rsidP="00B41578">
      <w:pPr>
        <w:pStyle w:val="ConsPlusNormal"/>
        <w:jc w:val="right"/>
      </w:pPr>
      <w:r>
        <w:t>приложения 30</w:t>
      </w:r>
    </w:p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СУБСИДИЙ БЮДЖЕТАМ МУНИЦИПАЛЬНЫХ ОБРАЗОВАНИЙ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 СТРОИТЕЛЬСТВО, РЕКОНСТРУКЦИЮ, КАПИТАЛЬНЫЙ РЕМОНТ И РЕМОНТ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АВТОМОБИЛЬНЫХ ДОРОГ (И ИСКУССТВЕННЫХ СООРУЖЕНИЙ НА НИХ)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ОБЩЕГО ПОЛЬЗОВАНИЯ МЕСТНОГО ЗНАЧЕНИЯ (ВКЛЮЧАЯ РАЗРАБОТКУ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ПРОЕКТНОЙ ДОКУМЕНТАЦИИ И ПРОВЕДЕНИЕ НЕОБХОДИМЫХ ЭКСПЕРТИЗ)</w:t>
      </w:r>
    </w:p>
    <w:p w:rsidR="00B41578" w:rsidRDefault="00B41578" w:rsidP="00B41578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2022 И 2023 ГОДОВ</w:t>
      </w:r>
    </w:p>
    <w:p w:rsidR="00B41578" w:rsidRDefault="00B41578" w:rsidP="00B41578">
      <w:pPr>
        <w:pStyle w:val="ConsPlusNormal"/>
        <w:jc w:val="center"/>
      </w:pPr>
      <w:r>
        <w:t xml:space="preserve">(введено </w:t>
      </w:r>
      <w:hyperlink r:id="rId1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41578" w:rsidRDefault="00B41578" w:rsidP="00B41578">
      <w:pPr>
        <w:pStyle w:val="ConsPlusNormal"/>
        <w:jc w:val="center"/>
      </w:pPr>
      <w:r>
        <w:t>от 08.07.2021 N 1952-ЗЗК)</w:t>
      </w:r>
    </w:p>
    <w:p w:rsidR="00B41578" w:rsidRDefault="00B41578" w:rsidP="00B415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5102"/>
        <w:gridCol w:w="1658"/>
        <w:gridCol w:w="1658"/>
      </w:tblGrid>
      <w:tr w:rsidR="00B41578" w:rsidTr="00FE00CA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41578" w:rsidTr="00FE00CA"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8" w:rsidRDefault="00B4157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B41578" w:rsidTr="00FE00C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78" w:rsidRDefault="00B41578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B41578" w:rsidTr="00FE00CA"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</w:pPr>
            <w:r>
              <w:t>Всего по краю,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bottom"/>
          </w:tcPr>
          <w:p w:rsidR="00B41578" w:rsidRDefault="00B41578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B41578" w:rsidTr="00FE00CA">
        <w:tc>
          <w:tcPr>
            <w:tcW w:w="663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5102" w:type="dxa"/>
            <w:vAlign w:val="bottom"/>
          </w:tcPr>
          <w:p w:rsidR="00B41578" w:rsidRDefault="00B41578" w:rsidP="00FE00CA">
            <w:pPr>
              <w:pStyle w:val="ConsPlusNormal"/>
            </w:pPr>
            <w:r>
              <w:t>в том числе:</w:t>
            </w:r>
          </w:p>
        </w:tc>
        <w:tc>
          <w:tcPr>
            <w:tcW w:w="1658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  <w:tc>
          <w:tcPr>
            <w:tcW w:w="1658" w:type="dxa"/>
            <w:vAlign w:val="bottom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63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58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52 000,0</w:t>
            </w:r>
          </w:p>
        </w:tc>
        <w:tc>
          <w:tcPr>
            <w:tcW w:w="1658" w:type="dxa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63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58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8 274,0</w:t>
            </w:r>
          </w:p>
        </w:tc>
        <w:tc>
          <w:tcPr>
            <w:tcW w:w="1658" w:type="dxa"/>
          </w:tcPr>
          <w:p w:rsidR="00B41578" w:rsidRDefault="00B41578" w:rsidP="00FE00CA">
            <w:pPr>
              <w:pStyle w:val="ConsPlusNormal"/>
            </w:pPr>
          </w:p>
        </w:tc>
      </w:tr>
      <w:tr w:rsidR="00B41578" w:rsidTr="00FE00CA">
        <w:tc>
          <w:tcPr>
            <w:tcW w:w="663" w:type="dxa"/>
          </w:tcPr>
          <w:p w:rsidR="00B41578" w:rsidRDefault="00B41578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</w:tcPr>
          <w:p w:rsidR="00B41578" w:rsidRDefault="00B41578" w:rsidP="00FE00C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58" w:type="dxa"/>
          </w:tcPr>
          <w:p w:rsidR="00B41578" w:rsidRDefault="00B41578" w:rsidP="00FE00CA">
            <w:pPr>
              <w:pStyle w:val="ConsPlusNormal"/>
              <w:jc w:val="right"/>
            </w:pPr>
            <w:r>
              <w:t>121 211,6</w:t>
            </w:r>
          </w:p>
        </w:tc>
        <w:tc>
          <w:tcPr>
            <w:tcW w:w="1658" w:type="dxa"/>
          </w:tcPr>
          <w:p w:rsidR="00B41578" w:rsidRDefault="00B41578" w:rsidP="00FE00CA">
            <w:pPr>
              <w:pStyle w:val="ConsPlusNormal"/>
            </w:pPr>
          </w:p>
        </w:tc>
      </w:tr>
    </w:tbl>
    <w:p w:rsidR="00B41578" w:rsidRDefault="00B41578" w:rsidP="00B41578">
      <w:pPr>
        <w:pStyle w:val="ConsPlusNormal"/>
        <w:jc w:val="both"/>
      </w:pPr>
    </w:p>
    <w:p w:rsidR="00B41578" w:rsidRDefault="00B41578" w:rsidP="00B41578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78"/>
    <w:rsid w:val="003F2F45"/>
    <w:rsid w:val="00B4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415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DF71CB7D57B34D9B078033FB79A5369BE945DDF7E6D9CF38566966167892F4BCF8C5F976FBABEA20005AC7F173FFA9BAB126E6686093DC0C3831ED2H1c8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2DF71CB7D57B34D9B078033FB79A5369BE945DDF7E6D9CF38566966167892F4BCF8C5F976FBABEA20005AC7F133FFA9BAB126E6686093DC0C3831ED2H1c8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2DF71CB7D57B34D9B078033FB79A5369BE945DDF7E6E94FB8261966167892F4BCF8C5F976FBABEA20005AD72113FFA9BAB126E6686093DC0C3831ED2H1c8G" TargetMode="External"/><Relationship Id="rId11" Type="http://schemas.openxmlformats.org/officeDocument/2006/relationships/hyperlink" Target="consultantplus://offline/ref=832DF71CB7D57B34D9B078033FB79A5369BE945DDF7E6E94FB8261966167892F4BCF8C5F976FBABEA20005AD72113FFA9BAB126E6686093DC0C3831ED2H1c8G" TargetMode="External"/><Relationship Id="rId5" Type="http://schemas.openxmlformats.org/officeDocument/2006/relationships/hyperlink" Target="consultantplus://offline/ref=832DF71CB7D57B34D9B078033FB79A5369BE945DDF7E6D9CF38566966167892F4BCF8C5F976FBABEA20005AC7F123FFA9BAB126E6686093DC0C3831ED2H1c8G" TargetMode="External"/><Relationship Id="rId10" Type="http://schemas.openxmlformats.org/officeDocument/2006/relationships/hyperlink" Target="consultantplus://offline/ref=832DF71CB7D57B34D9B078033FB79A5369BE945DDF7E6D9CF38566966167892F4BCF8C5F976FBABEA20005AC7E123FFA9BAB126E6686093DC0C3831ED2H1c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2DF71CB7D57B34D9B078033FB79A5369BE945DDF7E6D9CF38566966167892F4BCF8C5F976FBABEA20005AC7E113FFA9BAB126E6686093DC0C3831ED2H1c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14109</Words>
  <Characters>80426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2021-11-12T06:59:00Z</dcterms:created>
  <dcterms:modified xsi:type="dcterms:W3CDTF">2021-11-12T06:59:00Z</dcterms:modified>
</cp:coreProperties>
</file>