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A8" w:rsidRDefault="00EC58A8" w:rsidP="00EC58A8">
      <w:pPr>
        <w:pStyle w:val="ConsPlusNormal"/>
        <w:jc w:val="both"/>
      </w:pPr>
    </w:p>
    <w:p w:rsidR="00EC58A8" w:rsidRDefault="00EC58A8" w:rsidP="00EC58A8">
      <w:pPr>
        <w:pStyle w:val="ConsPlusNormal"/>
        <w:jc w:val="right"/>
        <w:outlineLvl w:val="0"/>
      </w:pPr>
      <w:bookmarkStart w:id="0" w:name="_GoBack"/>
      <w:bookmarkEnd w:id="0"/>
      <w:r>
        <w:t>Приложение 1</w:t>
      </w:r>
    </w:p>
    <w:p w:rsidR="00EC58A8" w:rsidRDefault="00EC58A8" w:rsidP="00EC58A8">
      <w:pPr>
        <w:pStyle w:val="ConsPlusNormal"/>
        <w:jc w:val="right"/>
      </w:pPr>
      <w:r>
        <w:t>к Закону Забайкальского края</w:t>
      </w:r>
    </w:p>
    <w:p w:rsidR="00EC58A8" w:rsidRDefault="00EC58A8" w:rsidP="00EC58A8">
      <w:pPr>
        <w:pStyle w:val="ConsPlusNormal"/>
        <w:jc w:val="right"/>
      </w:pPr>
      <w:r>
        <w:t>"О бюджете Забайкальского края на 2020 год</w:t>
      </w:r>
    </w:p>
    <w:p w:rsidR="00EC58A8" w:rsidRDefault="00EC58A8" w:rsidP="00EC58A8">
      <w:pPr>
        <w:pStyle w:val="ConsPlusNormal"/>
        <w:jc w:val="right"/>
      </w:pPr>
      <w:r>
        <w:t>и плановый период 2021 и 2022 годов"</w:t>
      </w:r>
    </w:p>
    <w:p w:rsidR="00EC58A8" w:rsidRDefault="00EC58A8" w:rsidP="00EC58A8">
      <w:pPr>
        <w:pStyle w:val="ConsPlusNormal"/>
        <w:jc w:val="both"/>
      </w:pPr>
    </w:p>
    <w:p w:rsidR="00EC58A8" w:rsidRDefault="00EC58A8" w:rsidP="00EC58A8">
      <w:pPr>
        <w:pStyle w:val="ConsPlusTitle"/>
        <w:jc w:val="center"/>
      </w:pPr>
      <w:bookmarkStart w:id="1" w:name="P265"/>
      <w:bookmarkEnd w:id="1"/>
      <w:r>
        <w:t>ПЕРЕЧЕНЬ</w:t>
      </w:r>
    </w:p>
    <w:p w:rsidR="00EC58A8" w:rsidRDefault="00EC58A8" w:rsidP="00EC58A8">
      <w:pPr>
        <w:pStyle w:val="ConsPlusTitle"/>
        <w:jc w:val="center"/>
      </w:pPr>
      <w:r>
        <w:t>ГЛАВНЫХ АДМИНИСТРАТОРОВ ДОХОДОВ БЮДЖЕТА КРАЯ -</w:t>
      </w:r>
    </w:p>
    <w:p w:rsidR="00EC58A8" w:rsidRDefault="00EC58A8" w:rsidP="00EC58A8">
      <w:pPr>
        <w:pStyle w:val="ConsPlusTitle"/>
        <w:jc w:val="center"/>
      </w:pPr>
      <w:r>
        <w:t>ТЕРРИТОРИАЛЬНЫХ ОРГАНОВ (ПОДРАЗДЕЛЕНИЙ) ФЕДЕРАЛЬНЫХ ОРГАНОВ</w:t>
      </w:r>
    </w:p>
    <w:p w:rsidR="00EC58A8" w:rsidRDefault="00EC58A8" w:rsidP="00EC58A8">
      <w:pPr>
        <w:pStyle w:val="ConsPlusTitle"/>
        <w:jc w:val="center"/>
      </w:pPr>
      <w:r>
        <w:t>ГОСУДАРСТВЕННОЙ ВЛАСТИ И ИНЫХ ФЕДЕРАЛЬНЫХ ГОСУДАРСТВЕННЫХ</w:t>
      </w:r>
    </w:p>
    <w:p w:rsidR="00EC58A8" w:rsidRDefault="00EC58A8" w:rsidP="00EC58A8">
      <w:pPr>
        <w:pStyle w:val="ConsPlusTitle"/>
        <w:jc w:val="center"/>
      </w:pPr>
      <w:r>
        <w:t>ОРГАНОВ, ФЕДЕРАЛЬНЫХ ГОСУДАРСТВЕННЫХ УЧРЕЖДЕНИЙ</w:t>
      </w:r>
    </w:p>
    <w:p w:rsidR="00EC58A8" w:rsidRDefault="00EC58A8" w:rsidP="00EC58A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C58A8" w:rsidTr="00800CB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58A8" w:rsidRDefault="00EC58A8" w:rsidP="00800C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58A8" w:rsidRDefault="00EC58A8" w:rsidP="00800CB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EC58A8" w:rsidRDefault="00EC58A8" w:rsidP="00800CB6">
            <w:pPr>
              <w:pStyle w:val="ConsPlusNormal"/>
              <w:jc w:val="center"/>
            </w:pPr>
            <w:r>
              <w:rPr>
                <w:color w:val="392C69"/>
              </w:rPr>
              <w:t>от 27.03.2020 N 1799-ЗЗК)</w:t>
            </w:r>
          </w:p>
        </w:tc>
      </w:tr>
    </w:tbl>
    <w:p w:rsidR="00EC58A8" w:rsidRDefault="00EC58A8" w:rsidP="00EC58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2494"/>
        <w:gridCol w:w="4479"/>
      </w:tblGrid>
      <w:tr w:rsidR="00EC58A8" w:rsidTr="00800CB6">
        <w:tc>
          <w:tcPr>
            <w:tcW w:w="4535" w:type="dxa"/>
            <w:gridSpan w:val="2"/>
          </w:tcPr>
          <w:p w:rsidR="00EC58A8" w:rsidRDefault="00EC58A8" w:rsidP="00800CB6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доходов бюджетов Российской Федерации</w:t>
            </w:r>
            <w:proofErr w:type="gramEnd"/>
          </w:p>
        </w:tc>
        <w:tc>
          <w:tcPr>
            <w:tcW w:w="4479" w:type="dxa"/>
            <w:vMerge w:val="restart"/>
            <w:vAlign w:val="center"/>
          </w:tcPr>
          <w:p w:rsidR="00EC58A8" w:rsidRDefault="00EC58A8" w:rsidP="00800CB6">
            <w:pPr>
              <w:pStyle w:val="ConsPlusNormal"/>
              <w:jc w:val="center"/>
            </w:pPr>
            <w:r>
              <w:t xml:space="preserve">Наименование </w:t>
            </w:r>
            <w:proofErr w:type="gramStart"/>
            <w:r>
              <w:t>кода классификации доходов бюджетов Российской Федерации</w:t>
            </w:r>
            <w:proofErr w:type="gramEnd"/>
          </w:p>
        </w:tc>
      </w:tr>
      <w:tr w:rsidR="00EC58A8" w:rsidTr="00800CB6">
        <w:tc>
          <w:tcPr>
            <w:tcW w:w="2041" w:type="dxa"/>
            <w:vAlign w:val="center"/>
          </w:tcPr>
          <w:p w:rsidR="00EC58A8" w:rsidRDefault="00EC58A8" w:rsidP="00800CB6">
            <w:pPr>
              <w:pStyle w:val="ConsPlusNormal"/>
              <w:jc w:val="center"/>
            </w:pPr>
            <w:r>
              <w:t>код главного администратора доходов бюджета</w:t>
            </w:r>
          </w:p>
        </w:tc>
        <w:tc>
          <w:tcPr>
            <w:tcW w:w="2494" w:type="dxa"/>
            <w:vAlign w:val="center"/>
          </w:tcPr>
          <w:p w:rsidR="00EC58A8" w:rsidRDefault="00EC58A8" w:rsidP="00800CB6">
            <w:pPr>
              <w:pStyle w:val="ConsPlusNormal"/>
              <w:jc w:val="center"/>
            </w:pPr>
            <w:r>
              <w:t>код вида доходов, код подвида доходов</w:t>
            </w:r>
          </w:p>
        </w:tc>
        <w:tc>
          <w:tcPr>
            <w:tcW w:w="4479" w:type="dxa"/>
            <w:vMerge/>
          </w:tcPr>
          <w:p w:rsidR="00EC58A8" w:rsidRDefault="00EC58A8" w:rsidP="00800CB6"/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3</w:t>
            </w:r>
          </w:p>
        </w:tc>
      </w:tr>
      <w:tr w:rsidR="00EC58A8" w:rsidTr="00800CB6">
        <w:tc>
          <w:tcPr>
            <w:tcW w:w="9014" w:type="dxa"/>
            <w:gridSpan w:val="3"/>
          </w:tcPr>
          <w:p w:rsidR="00EC58A8" w:rsidRDefault="00EC58A8" w:rsidP="00800CB6">
            <w:pPr>
              <w:pStyle w:val="ConsPlusNormal"/>
              <w:jc w:val="center"/>
              <w:outlineLvl w:val="1"/>
            </w:pPr>
            <w:r>
              <w:t>Управление Федеральной службы по надзору в сфере природопользования (Росприроднадзора) по Забайкальскому краю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1 12 01010 01 0000 120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>Плата за выбросы загрязняющих веществ в атмосферный воздух стационарными объектами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1 12 01030 01 0000 120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>Плата за сбросы загрязняющих веществ в водные объекты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1 12 01041 01 0000 120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>Плата за размещение отходов производства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1 12 01042 01 0000 120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>Плата за размещение твердых коммунальных отходов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1 12 01070 01 0000 120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</w:tr>
      <w:tr w:rsidR="00EC58A8" w:rsidTr="00800CB6">
        <w:tc>
          <w:tcPr>
            <w:tcW w:w="9014" w:type="dxa"/>
            <w:gridSpan w:val="3"/>
          </w:tcPr>
          <w:p w:rsidR="00EC58A8" w:rsidRDefault="00EC58A8" w:rsidP="00800CB6">
            <w:pPr>
              <w:pStyle w:val="ConsPlusNormal"/>
              <w:jc w:val="center"/>
              <w:outlineLvl w:val="1"/>
            </w:pPr>
            <w:r>
              <w:t>Федеральное агентство лесного хозяйства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1 16 10128 01 0001 140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proofErr w:type="gramStart"/>
            <w: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субъекта Российской Федерации по нормативам, действующим до 1 января 2020 года </w:t>
            </w:r>
            <w:r>
              <w:lastRenderedPageBreak/>
              <w:t>(задолженность по денежным взысканиям (штрафам) за нарушение законодательства Российской Федерации о пожарной безопасности)</w:t>
            </w:r>
            <w:proofErr w:type="gramEnd"/>
          </w:p>
        </w:tc>
      </w:tr>
      <w:tr w:rsidR="00EC58A8" w:rsidTr="00800CB6">
        <w:tc>
          <w:tcPr>
            <w:tcW w:w="9014" w:type="dxa"/>
            <w:gridSpan w:val="3"/>
          </w:tcPr>
          <w:p w:rsidR="00EC58A8" w:rsidRDefault="00EC58A8" w:rsidP="00800CB6">
            <w:pPr>
              <w:pStyle w:val="ConsPlusNormal"/>
              <w:jc w:val="center"/>
              <w:outlineLvl w:val="1"/>
            </w:pPr>
            <w:r>
              <w:lastRenderedPageBreak/>
              <w:t>Управление Федеральной службы по надзору в сфере связи, информационных технологий и массовых коммуникаций по Забайкальскому краю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096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1 08 07130 01 0000 110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proofErr w:type="gramStart"/>
            <w:r>
              <w:t>Государственная пошлина за государственную регистрацию средства массовой информации, за внесение изменений в запись о регистрации средства массовой информации (в том числе связанных с изменением тематики или специализации), продукция которого предназначена для распространения преимущественно на территории субъекта Российской Федерации, территории муниципального образования</w:t>
            </w:r>
            <w:proofErr w:type="gramEnd"/>
          </w:p>
        </w:tc>
      </w:tr>
      <w:tr w:rsidR="00EC58A8" w:rsidTr="00800CB6">
        <w:tc>
          <w:tcPr>
            <w:tcW w:w="9014" w:type="dxa"/>
            <w:gridSpan w:val="3"/>
          </w:tcPr>
          <w:p w:rsidR="00EC58A8" w:rsidRDefault="00EC58A8" w:rsidP="00800CB6">
            <w:pPr>
              <w:pStyle w:val="ConsPlusNormal"/>
              <w:jc w:val="center"/>
              <w:outlineLvl w:val="1"/>
            </w:pPr>
            <w:r>
              <w:t>Управление Федерального казначейства по Забайкальскому краю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1 03 02142 01 0000 110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proofErr w:type="gramStart"/>
            <w:r>
              <w:t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</w:t>
            </w:r>
            <w:proofErr w:type="gramEnd"/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1 03 02143 01 0000 110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proofErr w:type="gramStart"/>
            <w:r>
              <w:t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 (по</w:t>
            </w:r>
            <w:proofErr w:type="gramEnd"/>
            <w:r>
              <w:t xml:space="preserve"> </w:t>
            </w:r>
            <w:proofErr w:type="gramStart"/>
            <w:r>
              <w:t xml:space="preserve">нормативам,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</w:t>
            </w:r>
            <w:r>
              <w:lastRenderedPageBreak/>
              <w:t>объектов налогообложения по налогу на имущество организаций)</w:t>
            </w:r>
            <w:proofErr w:type="gramEnd"/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1 03 02190 01 0000 110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proofErr w:type="gramStart"/>
            <w:r>
              <w:t>Доходы от уплаты акцизов на этиловый спирт из пищевого 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</w:t>
            </w:r>
            <w:proofErr w:type="gramEnd"/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1 03 02200 01 0000 110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proofErr w:type="gramStart"/>
            <w:r>
              <w:t>Доходы от уплаты акцизов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</w:t>
            </w:r>
            <w:proofErr w:type="gramEnd"/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1 03 02210 01 0000 110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>Доходы от уплаты акцизов на спиртосодержащую продукцию, производимую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1 03 02220 01 0000 110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proofErr w:type="gramStart"/>
            <w:r>
              <w:t>Доходы от уплаты акцизов на этиловый спирт из непищевого сырья, производимый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законам о федеральном бюджете)</w:t>
            </w:r>
            <w:proofErr w:type="gramEnd"/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1 03 02231 01 0000 110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proofErr w:type="gramStart"/>
            <w:r>
              <w:t xml:space="preserve">Доходы от уплаты акцизов на дизельное топливо, подлежащие распределению между бюджетами субъектов Российской </w:t>
            </w:r>
            <w:r>
              <w:lastRenderedPageBreak/>
              <w:t>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proofErr w:type="gramEnd"/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1 03 02232 01 0000 110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proofErr w:type="gramStart"/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  <w:proofErr w:type="gramEnd"/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1 03 02241 01 0000 110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proofErr w:type="gramStart"/>
            <w: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proofErr w:type="gramEnd"/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1 03 02242 01 0000 110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proofErr w:type="gramStart"/>
            <w: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  <w:proofErr w:type="gramEnd"/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1 03 02251 01 0000 110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proofErr w:type="gramStart"/>
            <w: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r>
              <w:lastRenderedPageBreak/>
              <w:t>Федеральным законом о федеральном бюджете в целях формирования дорожных фондов субъектов Российской Федерации)</w:t>
            </w:r>
            <w:proofErr w:type="gramEnd"/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1 03 02252 01 0000 110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proofErr w:type="gramStart"/>
            <w: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  <w:proofErr w:type="gramEnd"/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1 03 02261 01 0000 110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proofErr w:type="gramStart"/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proofErr w:type="gramEnd"/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1 03 02262 01 0000 110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proofErr w:type="gramStart"/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  <w:proofErr w:type="gramEnd"/>
          </w:p>
        </w:tc>
      </w:tr>
      <w:tr w:rsidR="00EC58A8" w:rsidTr="00800CB6">
        <w:tc>
          <w:tcPr>
            <w:tcW w:w="9014" w:type="dxa"/>
            <w:gridSpan w:val="3"/>
          </w:tcPr>
          <w:p w:rsidR="00EC58A8" w:rsidRDefault="00EC58A8" w:rsidP="00800CB6">
            <w:pPr>
              <w:pStyle w:val="ConsPlusNormal"/>
              <w:jc w:val="center"/>
              <w:outlineLvl w:val="1"/>
            </w:pPr>
            <w:r>
              <w:t>Байкальское межрегиональное управление государственного автодорожного надзора Федеральной службы по надзору в сфере транспорта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1 16 01121 01 0000 140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судьями федеральных судов, должностными лицами федеральных государственных органов, учреждений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1 16 10128 01 0001 140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proofErr w:type="gramStart"/>
            <w:r>
              <w:t xml:space="preserve">Доходы от денежных взысканий (штрафов), поступающие в счет погашения задолженности, образовавшейся до 1 января </w:t>
            </w:r>
            <w:r>
              <w:lastRenderedPageBreak/>
              <w:t>2020 года, подлежащие зачислению в федеральный бюджет и бюджет субъекта Российской Федерации по нормативам, действующим до 1 января 2020 года (задолженность по денежным взысканиям (штрафам) за нарушение законодательства Российской Федерации о пожарной безопасности)</w:t>
            </w:r>
            <w:proofErr w:type="gramEnd"/>
          </w:p>
        </w:tc>
      </w:tr>
      <w:tr w:rsidR="00EC58A8" w:rsidTr="00800CB6">
        <w:tc>
          <w:tcPr>
            <w:tcW w:w="9014" w:type="dxa"/>
            <w:gridSpan w:val="3"/>
          </w:tcPr>
          <w:p w:rsidR="00EC58A8" w:rsidRDefault="00EC58A8" w:rsidP="00800CB6">
            <w:pPr>
              <w:pStyle w:val="ConsPlusNormal"/>
              <w:jc w:val="center"/>
              <w:outlineLvl w:val="1"/>
            </w:pPr>
            <w:r>
              <w:lastRenderedPageBreak/>
              <w:t>Управление Федеральной антимонопольной службы по Забайкальскому краю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1 16 10128 01 0002 140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субъекта Российской Федерации по нормативам, действующим до 1 января 2020 года (задолженность по денежным взысканиям (штрафам) за нарушение законодательства о рекламе)</w:t>
            </w:r>
          </w:p>
        </w:tc>
      </w:tr>
      <w:tr w:rsidR="00EC58A8" w:rsidTr="00800CB6">
        <w:tc>
          <w:tcPr>
            <w:tcW w:w="9014" w:type="dxa"/>
            <w:gridSpan w:val="3"/>
          </w:tcPr>
          <w:p w:rsidR="00EC58A8" w:rsidRDefault="00EC58A8" w:rsidP="00800CB6">
            <w:pPr>
              <w:pStyle w:val="ConsPlusNormal"/>
              <w:jc w:val="center"/>
              <w:outlineLvl w:val="1"/>
            </w:pPr>
            <w: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Забайкальскому краю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1 16 10128 01 0001 140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proofErr w:type="gramStart"/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субъекта Российской Федерации по нормативам, действующим до 1 января 2020 года (задолженность по денежным взысканиям (штрафам) за нарушение законодательства Российской Федерации о пожарной безопасности)</w:t>
            </w:r>
            <w:proofErr w:type="gramEnd"/>
          </w:p>
        </w:tc>
      </w:tr>
      <w:tr w:rsidR="00EC58A8" w:rsidTr="00800CB6">
        <w:tc>
          <w:tcPr>
            <w:tcW w:w="9014" w:type="dxa"/>
            <w:gridSpan w:val="3"/>
          </w:tcPr>
          <w:p w:rsidR="00EC58A8" w:rsidRDefault="00EC58A8" w:rsidP="00800CB6">
            <w:pPr>
              <w:pStyle w:val="ConsPlusNormal"/>
              <w:jc w:val="center"/>
              <w:outlineLvl w:val="1"/>
            </w:pPr>
            <w:r>
              <w:t>Управление Федеральной налоговой службы по Забайкальскому краю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1 01 01012 02 0000 110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 xml:space="preserve">Налог на прибыль организаций (за исключением консолидированных групп налогоплательщиков), зачисляемый в бюджеты субъектов Российской Федерации </w:t>
            </w:r>
            <w:hyperlink w:anchor="P505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1 01 01014 02 0000 110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 xml:space="preserve">Налог на прибыль организаций консолидированных групп налогоплательщиков, зачисляемый в бюджеты субъектов Российской Федерации </w:t>
            </w:r>
            <w:hyperlink w:anchor="P505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1 01 02010 01 0000 110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 xml:space="preserve">Налог на доходы физических лиц с доходов, источником которых является налоговый агент, за исключением доходов, в отношении </w:t>
            </w:r>
            <w:r>
              <w:lastRenderedPageBreak/>
              <w:t xml:space="preserve">которых исчисление и уплата налога осуществляются в соответствии со </w:t>
            </w:r>
            <w:hyperlink r:id="rId7" w:history="1">
              <w:r>
                <w:rPr>
                  <w:color w:val="0000FF"/>
                </w:rPr>
                <w:t>статьями 227</w:t>
              </w:r>
            </w:hyperlink>
            <w:r>
              <w:t xml:space="preserve">, </w:t>
            </w:r>
            <w:hyperlink r:id="rId8" w:history="1">
              <w:r>
                <w:rPr>
                  <w:color w:val="0000FF"/>
                </w:rPr>
                <w:t>227.1</w:t>
              </w:r>
            </w:hyperlink>
            <w:r>
              <w:t xml:space="preserve"> и </w:t>
            </w:r>
            <w:hyperlink r:id="rId9" w:history="1">
              <w:r>
                <w:rPr>
                  <w:color w:val="0000FF"/>
                </w:rPr>
                <w:t>228</w:t>
              </w:r>
            </w:hyperlink>
            <w:r>
              <w:t xml:space="preserve"> Налогового кодекса Российской Федерации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1 01 02020 01 0000 110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0" w:history="1">
              <w:r>
                <w:rPr>
                  <w:color w:val="0000FF"/>
                </w:rPr>
                <w:t>статьей 227</w:t>
              </w:r>
            </w:hyperlink>
            <w:r>
              <w:t xml:space="preserve"> Налогового кодекса Российской Федерации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1 01 02030 01 0000 110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 xml:space="preserve">Налог на доходы физических лиц с доходов, полученных физическими лицами в соответствии со </w:t>
            </w:r>
            <w:hyperlink r:id="rId11" w:history="1">
              <w:r>
                <w:rPr>
                  <w:color w:val="0000FF"/>
                </w:rPr>
                <w:t>статьей 228</w:t>
              </w:r>
            </w:hyperlink>
            <w:r>
              <w:t xml:space="preserve"> Налогового кодекса Российской Федерации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1 01 02040 01 0000 110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12" w:history="1">
              <w:r>
                <w:rPr>
                  <w:color w:val="0000FF"/>
                </w:rPr>
                <w:t>статьей 227.1</w:t>
              </w:r>
            </w:hyperlink>
            <w:r>
              <w:t xml:space="preserve"> Налогового кодекса Российской Федерации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1 01 02050 01 0000 110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1 03 02100 01 0000 110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>Акцизы на пиво, производимое на территории Российской Федерации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1 03 02120 01 0000 110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>Акцизы на сидр, пуаре, медовуху, производимые на территории Российской Федерации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1 05 01010 01 0000 110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1 05 01020 01 0000 110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1 05 01050 01 0000 110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 xml:space="preserve">Минимальный налог, зачисляемый в бюджеты субъектов Российской Федерации </w:t>
            </w:r>
            <w:r>
              <w:lastRenderedPageBreak/>
              <w:t>(за налоговые периоды, истекшие до 1 января 2016 года)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1 05 06000 01 0000 110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>Налог на профессиональный доход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1 06 02010 02 0000 110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>Налог на имущество организаций по имуществу, не входящему в Единую систему газоснабжения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1 06 04011 02 0000 110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>Транспортный налог с организаций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1 06 04012 02 0000 110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>Транспортный налог с физических лиц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1 06 05000 02 0000 110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>Налог на игорный бизнес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1 07 01030 01 0000 110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 xml:space="preserve">Налог на добычу прочих полезных ископаемых (за исключением полезных ископаемых в виде природных алмазов) </w:t>
            </w:r>
            <w:hyperlink w:anchor="P505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1 07 01060 01 0000 110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 xml:space="preserve">Налог на добычу полезных ископаемых в виде угля </w:t>
            </w:r>
            <w:hyperlink w:anchor="P505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1 07 04010 01 0000 110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 xml:space="preserve">Сбор за пользование объектами животного мира </w:t>
            </w:r>
            <w:hyperlink w:anchor="P505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1 08 02000 01 0000 110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 xml:space="preserve">Государственная пошлина по делам, рассматриваемым Конституционным Судом Российской Федерации и конституционными (уставными) судами субъектов Российской Федерации </w:t>
            </w:r>
            <w:hyperlink w:anchor="P505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1 08 07010 01 0000 110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1 08 07310 01 0000 110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 xml:space="preserve">Государственная пошлина </w:t>
            </w:r>
            <w:proofErr w:type="gramStart"/>
            <w:r>
              <w:t>за повторную выдачу свидетельства о постановке на учет в налоговом органе</w:t>
            </w:r>
            <w:proofErr w:type="gramEnd"/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1 09 00000 00 0000 000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 xml:space="preserve">Задолженность и перерасчеты по отмененным налогам, сборам и иным обязательным платежам </w:t>
            </w:r>
            <w:hyperlink w:anchor="P505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1 12 02030 01 0000 120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>Регулярные платежи за пользование недрами при пользовании недрами на территории Российской Федерации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1 13 01020 01 0000 130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 xml:space="preserve">Плата за предоставление сведений и документов, содержащихся в Едином государственном реестре юридических лиц и </w:t>
            </w:r>
            <w:r>
              <w:lastRenderedPageBreak/>
              <w:t>в Едином государственном реестре индивидуальных предпринимателей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1 13 01190 01 0000 130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>Плата за предоставление информации из реестра дисквалифицированных лиц</w:t>
            </w:r>
          </w:p>
        </w:tc>
      </w:tr>
      <w:tr w:rsidR="00EC58A8" w:rsidTr="00800CB6">
        <w:tc>
          <w:tcPr>
            <w:tcW w:w="9014" w:type="dxa"/>
            <w:gridSpan w:val="3"/>
          </w:tcPr>
          <w:p w:rsidR="00EC58A8" w:rsidRDefault="00EC58A8" w:rsidP="00800CB6">
            <w:pPr>
              <w:pStyle w:val="ConsPlusNormal"/>
              <w:jc w:val="center"/>
              <w:outlineLvl w:val="1"/>
            </w:pPr>
            <w:r>
              <w:t xml:space="preserve">Федеральное казенное учреждение "Управление финансового </w:t>
            </w:r>
            <w:proofErr w:type="gramStart"/>
            <w:r>
              <w:t>обеспечения Министерства обороны Российской Федерации</w:t>
            </w:r>
            <w:proofErr w:type="gramEnd"/>
            <w:r>
              <w:t xml:space="preserve"> по Забайкальскому краю"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1 16 01121 01 0000 140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3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судьями федеральных судов, должностными лицами федеральных государственных органов, учреждений</w:t>
            </w:r>
          </w:p>
        </w:tc>
      </w:tr>
      <w:tr w:rsidR="00EC58A8" w:rsidTr="00800CB6">
        <w:tc>
          <w:tcPr>
            <w:tcW w:w="9014" w:type="dxa"/>
            <w:gridSpan w:val="3"/>
          </w:tcPr>
          <w:p w:rsidR="00EC58A8" w:rsidRDefault="00EC58A8" w:rsidP="00800CB6">
            <w:pPr>
              <w:pStyle w:val="ConsPlusNormal"/>
              <w:jc w:val="center"/>
              <w:outlineLvl w:val="1"/>
            </w:pPr>
            <w:r>
              <w:t>Управление Министерства внутренних дел Российской Федерации по Забайкальскому краю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1 08 06000 01 0000 110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1 08 07100 01 0000 110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>Государственная пошлина за выдачу и обмен паспорта гражданина Российской Федерации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1 08 07141 01 0000 110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proofErr w:type="gramStart"/>
            <w: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  <w:proofErr w:type="gramEnd"/>
          </w:p>
        </w:tc>
      </w:tr>
      <w:tr w:rsidR="00EC58A8" w:rsidTr="00800CB6">
        <w:tblPrEx>
          <w:tblBorders>
            <w:insideH w:val="nil"/>
          </w:tblBorders>
        </w:tblPrEx>
        <w:tc>
          <w:tcPr>
            <w:tcW w:w="2041" w:type="dxa"/>
            <w:tcBorders>
              <w:bottom w:val="nil"/>
            </w:tcBorders>
          </w:tcPr>
          <w:p w:rsidR="00EC58A8" w:rsidRDefault="00EC58A8" w:rsidP="00800CB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494" w:type="dxa"/>
            <w:tcBorders>
              <w:bottom w:val="nil"/>
            </w:tcBorders>
          </w:tcPr>
          <w:p w:rsidR="00EC58A8" w:rsidRDefault="00EC58A8" w:rsidP="00800CB6">
            <w:pPr>
              <w:pStyle w:val="ConsPlusNormal"/>
              <w:jc w:val="center"/>
            </w:pPr>
            <w:r>
              <w:t>1 16 01121 01 0001 140</w:t>
            </w:r>
          </w:p>
        </w:tc>
        <w:tc>
          <w:tcPr>
            <w:tcW w:w="4479" w:type="dxa"/>
            <w:tcBorders>
              <w:bottom w:val="nil"/>
            </w:tcBorders>
          </w:tcPr>
          <w:p w:rsidR="00EC58A8" w:rsidRDefault="00EC58A8" w:rsidP="00800CB6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4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судьями федеральных судов, должностными лицами федеральных государственных органов, учреждений (штрафы за нарушение </w:t>
            </w:r>
            <w:hyperlink r:id="rId15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движения, правил эксплуатации транспортного средства)</w:t>
            </w:r>
          </w:p>
        </w:tc>
      </w:tr>
      <w:tr w:rsidR="00EC58A8" w:rsidTr="00800CB6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EC58A8" w:rsidRDefault="00EC58A8" w:rsidP="00800CB6">
            <w:pPr>
              <w:pStyle w:val="ConsPlusNormal"/>
              <w:jc w:val="both"/>
            </w:pPr>
            <w:r>
              <w:t xml:space="preserve">(в ред. </w:t>
            </w:r>
            <w:hyperlink r:id="rId16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от 27.03.2020 N 1799-ЗЗК)</w:t>
            </w:r>
          </w:p>
        </w:tc>
      </w:tr>
      <w:tr w:rsidR="00EC58A8" w:rsidTr="00800CB6">
        <w:tblPrEx>
          <w:tblBorders>
            <w:insideH w:val="nil"/>
          </w:tblBorders>
        </w:tblPrEx>
        <w:tc>
          <w:tcPr>
            <w:tcW w:w="2041" w:type="dxa"/>
            <w:tcBorders>
              <w:bottom w:val="nil"/>
            </w:tcBorders>
          </w:tcPr>
          <w:p w:rsidR="00EC58A8" w:rsidRDefault="00EC58A8" w:rsidP="00800CB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494" w:type="dxa"/>
            <w:tcBorders>
              <w:bottom w:val="nil"/>
            </w:tcBorders>
          </w:tcPr>
          <w:p w:rsidR="00EC58A8" w:rsidRDefault="00EC58A8" w:rsidP="00800CB6">
            <w:pPr>
              <w:pStyle w:val="ConsPlusNormal"/>
              <w:jc w:val="center"/>
            </w:pPr>
            <w:r>
              <w:t>1 16 01123 01 0001 140</w:t>
            </w:r>
          </w:p>
        </w:tc>
        <w:tc>
          <w:tcPr>
            <w:tcW w:w="4479" w:type="dxa"/>
            <w:tcBorders>
              <w:bottom w:val="nil"/>
            </w:tcBorders>
          </w:tcPr>
          <w:p w:rsidR="00EC58A8" w:rsidRDefault="00EC58A8" w:rsidP="00800CB6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7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</w:t>
            </w:r>
            <w:r>
              <w:lastRenderedPageBreak/>
              <w:t xml:space="preserve">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</w:t>
            </w:r>
            <w:hyperlink r:id="rId18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движения, правил эксплуатации транспортного средства)</w:t>
            </w:r>
            <w:proofErr w:type="gramEnd"/>
          </w:p>
        </w:tc>
      </w:tr>
      <w:tr w:rsidR="00EC58A8" w:rsidTr="00800CB6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EC58A8" w:rsidRDefault="00EC58A8" w:rsidP="00800CB6">
            <w:pPr>
              <w:pStyle w:val="ConsPlusNormal"/>
              <w:jc w:val="both"/>
            </w:pPr>
            <w:r>
              <w:lastRenderedPageBreak/>
              <w:t xml:space="preserve">(абзац введен </w:t>
            </w:r>
            <w:hyperlink r:id="rId1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Забайкальского края от 27.03.2020 N 1799-ЗЗК)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1 16 10128 01 0002 140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субъекта Российской Федерации по нормативам, действующим до 1 января 2020 года (задолженность по денежным взысканиям (штрафам) за нарушение законодательства о рекламе)</w:t>
            </w:r>
          </w:p>
        </w:tc>
      </w:tr>
      <w:tr w:rsidR="00EC58A8" w:rsidTr="00800CB6">
        <w:tc>
          <w:tcPr>
            <w:tcW w:w="9014" w:type="dxa"/>
            <w:gridSpan w:val="3"/>
          </w:tcPr>
          <w:p w:rsidR="00EC58A8" w:rsidRDefault="00EC58A8" w:rsidP="00800CB6">
            <w:pPr>
              <w:pStyle w:val="ConsPlusNormal"/>
              <w:jc w:val="center"/>
              <w:outlineLvl w:val="1"/>
            </w:pPr>
            <w:r>
              <w:t>Управление Министерства юстиции Российской Федерации по Забайкальскому краю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1 08 07110 01 0000 110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>Государственная пошлина за государственную регистрацию межрегиональных, региональных и местных общественных объединений, отделений общественных объединений, а также за государственную регистрацию изменений их учредительных документов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1 08 07120 01 0000 110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>Государственная пошлина за государственную регистрацию политических партий и региональных отделений политических партий</w:t>
            </w:r>
          </w:p>
        </w:tc>
      </w:tr>
      <w:tr w:rsidR="00EC58A8" w:rsidTr="00800CB6">
        <w:tc>
          <w:tcPr>
            <w:tcW w:w="9014" w:type="dxa"/>
            <w:gridSpan w:val="3"/>
          </w:tcPr>
          <w:p w:rsidR="00EC58A8" w:rsidRDefault="00EC58A8" w:rsidP="00800CB6">
            <w:pPr>
              <w:pStyle w:val="ConsPlusNormal"/>
              <w:jc w:val="center"/>
              <w:outlineLvl w:val="1"/>
            </w:pPr>
            <w:r>
              <w:t>Управление Федеральной службы государственной регистрации, кадастра и картографии по Забайкальскому краю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1 08 07020 01 0000 110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1 13 01031 01 0000 130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>Плата за предоставление сведений из Единого государственного реестра недвижимости</w:t>
            </w:r>
          </w:p>
        </w:tc>
      </w:tr>
      <w:tr w:rsidR="00EC58A8" w:rsidTr="00800CB6">
        <w:tc>
          <w:tcPr>
            <w:tcW w:w="9014" w:type="dxa"/>
            <w:gridSpan w:val="3"/>
          </w:tcPr>
          <w:p w:rsidR="00EC58A8" w:rsidRDefault="00EC58A8" w:rsidP="00800CB6">
            <w:pPr>
              <w:pStyle w:val="ConsPlusNormal"/>
              <w:jc w:val="center"/>
              <w:outlineLvl w:val="1"/>
            </w:pPr>
            <w:r>
              <w:t>Доходы бюджета края, администрирование которых может осуществляться главными администраторами доходов бюджета края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1 08 06000 01 0000 110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 xml:space="preserve">Государственная пошлина за совершение действий, связанных с приобретением гражданства Российской Федерации или </w:t>
            </w:r>
            <w:r>
              <w:lastRenderedPageBreak/>
              <w:t>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1 08 07010 01 0000 110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1 08 07100 01 0000 110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>Государственная пошлина за выдачу и обмен паспорта гражданина Российской Федерации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1 08 07141 01 0000 110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proofErr w:type="gramStart"/>
            <w: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  <w:proofErr w:type="gramEnd"/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1 16 10122 01 0001 140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субъектов Российской Федерации, по нормативам, действующим в 2019 году (за исключением доходов, направляемых на формирование дорожного фонда субъекта Российской Федерации)</w:t>
            </w:r>
          </w:p>
        </w:tc>
      </w:tr>
      <w:tr w:rsidR="00EC58A8" w:rsidTr="00800CB6">
        <w:tc>
          <w:tcPr>
            <w:tcW w:w="2041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94" w:type="dxa"/>
          </w:tcPr>
          <w:p w:rsidR="00EC58A8" w:rsidRDefault="00EC58A8" w:rsidP="00800CB6">
            <w:pPr>
              <w:pStyle w:val="ConsPlusNormal"/>
              <w:jc w:val="center"/>
            </w:pPr>
            <w:r>
              <w:t>1 16 10122 01 0002 140</w:t>
            </w:r>
          </w:p>
        </w:tc>
        <w:tc>
          <w:tcPr>
            <w:tcW w:w="4479" w:type="dxa"/>
          </w:tcPr>
          <w:p w:rsidR="00EC58A8" w:rsidRDefault="00EC58A8" w:rsidP="00800CB6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субъектов Российской Федерации, по нормативам, действующим в 2019 году (доходы, направляемые на формирование дорожного фонда субъекта Российской Федерации)</w:t>
            </w:r>
          </w:p>
        </w:tc>
      </w:tr>
    </w:tbl>
    <w:p w:rsidR="00EC58A8" w:rsidRDefault="00EC58A8" w:rsidP="00EC58A8">
      <w:pPr>
        <w:pStyle w:val="ConsPlusNormal"/>
        <w:jc w:val="both"/>
      </w:pPr>
    </w:p>
    <w:p w:rsidR="00EC58A8" w:rsidRDefault="00EC58A8" w:rsidP="00EC58A8">
      <w:pPr>
        <w:pStyle w:val="ConsPlusNormal"/>
        <w:ind w:firstLine="540"/>
        <w:jc w:val="both"/>
      </w:pPr>
      <w:r>
        <w:t>--------------------------------</w:t>
      </w:r>
    </w:p>
    <w:p w:rsidR="00EC58A8" w:rsidRDefault="00EC58A8" w:rsidP="00EC58A8">
      <w:pPr>
        <w:pStyle w:val="ConsPlusNormal"/>
        <w:spacing w:before="220"/>
        <w:ind w:firstLine="540"/>
        <w:jc w:val="both"/>
      </w:pPr>
      <w:bookmarkStart w:id="2" w:name="P505"/>
      <w:bookmarkEnd w:id="2"/>
      <w:r>
        <w:t>&lt;*&gt; В части доходов, зачисляемых в бюджет края.</w:t>
      </w:r>
    </w:p>
    <w:p w:rsidR="004B2C0C" w:rsidRDefault="004B2C0C"/>
    <w:sectPr w:rsidR="004B2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16"/>
    <w:rsid w:val="004B2C0C"/>
    <w:rsid w:val="00DD1A16"/>
    <w:rsid w:val="00EC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5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5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1022DE30D818CB8B76850A2F714483E0062770265B5FF6CE74268F263A31E1CD03F5DA3ACBBEE16AAA3D9D2A0CCFDF813C254080831z2w6A" TargetMode="External"/><Relationship Id="rId13" Type="http://schemas.openxmlformats.org/officeDocument/2006/relationships/hyperlink" Target="consultantplus://offline/ref=C2E1022DE30D818CB8B76850A2F714483E076F720666B5FF6CE74268F263A31E1CD03F5DA3A4B5E818F5A6CCC3F8C3FFE60DC64E140A3324zFwBA" TargetMode="External"/><Relationship Id="rId18" Type="http://schemas.openxmlformats.org/officeDocument/2006/relationships/hyperlink" Target="consultantplus://offline/ref=C2E1022DE30D818CB8B76850A2F714483E076F700061B5FF6CE74268F263A31E1CD03F5DA3A4BCE818F5A6CCC3F8C3FFE60DC64E140A3324zFwB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C2E1022DE30D818CB8B76850A2F714483E0062770265B5FF6CE74268F263A31E1CD03F5FA3A5B5E249AFB6C88AAFCEE3E617D8480A0Az3w3A" TargetMode="External"/><Relationship Id="rId12" Type="http://schemas.openxmlformats.org/officeDocument/2006/relationships/hyperlink" Target="consultantplus://offline/ref=C2E1022DE30D818CB8B76850A2F714483E0062770265B5FF6CE74268F263A31E1CD03F5DA3ACBBEE16AAA3D9D2A0CCFDF813C254080831z2w6A" TargetMode="External"/><Relationship Id="rId17" Type="http://schemas.openxmlformats.org/officeDocument/2006/relationships/hyperlink" Target="consultantplus://offline/ref=C2E1022DE30D818CB8B76850A2F714483E076F71076AB5FF6CE74268F263A31E1CD03F5DA3A4B5E818F5A6CCC3F8C3FFE60DC64E140A3324zFwB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E1022DE30D818CB8B7765DB49B48403C08387D0065BBAC35B54F62A73BFC475E973657F7E7F8E41CFEF29D82A4C5A9B757934708082D26FF733DBEE5z3w1A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E1022DE30D818CB8B76850A2F714483E076F720666B5FF6CE74268F263A31E1CD03F5DA3A4B5E818F5A6CCC3F8C3FFE60DC64E140A3324zFwBA" TargetMode="External"/><Relationship Id="rId11" Type="http://schemas.openxmlformats.org/officeDocument/2006/relationships/hyperlink" Target="consultantplus://offline/ref=C2E1022DE30D818CB8B76850A2F714483E0062770265B5FF6CE74268F263A31E1CD03F5DA3A5B8E01CF5A6CCC3F8C3FFE60DC64E140A3324zFwBA" TargetMode="External"/><Relationship Id="rId5" Type="http://schemas.openxmlformats.org/officeDocument/2006/relationships/hyperlink" Target="consultantplus://offline/ref=C2E1022DE30D818CB8B7765DB49B48403C08387D0065BBAC35B54F62A73BFC475E973657F7E7F8E41CFEF29D82A5C5A9B757934708082D26FF733DBEE5z3w1A" TargetMode="External"/><Relationship Id="rId15" Type="http://schemas.openxmlformats.org/officeDocument/2006/relationships/hyperlink" Target="consultantplus://offline/ref=C2E1022DE30D818CB8B76850A2F714483E076F700061B5FF6CE74268F263A31E1CD03F5DA3A4BCE818F5A6CCC3F8C3FFE60DC64E140A3324zFwBA" TargetMode="External"/><Relationship Id="rId10" Type="http://schemas.openxmlformats.org/officeDocument/2006/relationships/hyperlink" Target="consultantplus://offline/ref=C2E1022DE30D818CB8B76850A2F714483E0062770265B5FF6CE74268F263A31E1CD03F5FA3A5B5E249AFB6C88AAFCEE3E617D8480A0Az3w3A" TargetMode="External"/><Relationship Id="rId19" Type="http://schemas.openxmlformats.org/officeDocument/2006/relationships/hyperlink" Target="consultantplus://offline/ref=C2E1022DE30D818CB8B7765DB49B48403C08387D0065BBAC35B54F62A73BFC475E973657F7E7F8E41CFEF29D80ACC5A9B757934708082D26FF733DBEE5z3w1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1022DE30D818CB8B76850A2F714483E0062770265B5FF6CE74268F263A31E1CD03F5DA3A5B8E01CF5A6CCC3F8C3FFE60DC64E140A3324zFwBA" TargetMode="External"/><Relationship Id="rId14" Type="http://schemas.openxmlformats.org/officeDocument/2006/relationships/hyperlink" Target="consultantplus://offline/ref=C2E1022DE30D818CB8B76850A2F714483E076F71076AB5FF6CE74268F263A31E1CD03F5DA3A4B5E818F5A6CCC3F8C3FFE60DC64E140A3324zFw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3359</Words>
  <Characters>19149</Characters>
  <Application>Microsoft Office Word</Application>
  <DocSecurity>0</DocSecurity>
  <Lines>159</Lines>
  <Paragraphs>44</Paragraphs>
  <ScaleCrop>false</ScaleCrop>
  <Company/>
  <LinksUpToDate>false</LinksUpToDate>
  <CharactersWithSpaces>22464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2020-04-20T00:53:00Z</dcterms:created>
  <dcterms:modified xsi:type="dcterms:W3CDTF">2020-04-20T00:53:00Z</dcterms:modified>
</cp:coreProperties>
</file>