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5A" w:rsidRDefault="0007105A" w:rsidP="0007105A">
      <w:pPr>
        <w:pStyle w:val="ConsPlusNormal"/>
        <w:jc w:val="right"/>
        <w:outlineLvl w:val="0"/>
      </w:pPr>
      <w:r>
        <w:t>Приложение 6</w:t>
      </w:r>
    </w:p>
    <w:p w:rsidR="0007105A" w:rsidRDefault="0007105A" w:rsidP="0007105A">
      <w:pPr>
        <w:pStyle w:val="ConsPlusNormal"/>
        <w:jc w:val="right"/>
      </w:pPr>
      <w:r>
        <w:t>к Закону Забайкальского края</w:t>
      </w:r>
    </w:p>
    <w:p w:rsidR="0007105A" w:rsidRDefault="0007105A" w:rsidP="0007105A">
      <w:pPr>
        <w:pStyle w:val="ConsPlusNormal"/>
        <w:jc w:val="right"/>
      </w:pPr>
      <w:r>
        <w:t>"О бюджете Забайкальского края на 2019 год</w:t>
      </w:r>
    </w:p>
    <w:p w:rsidR="0007105A" w:rsidRDefault="0007105A" w:rsidP="0007105A">
      <w:pPr>
        <w:pStyle w:val="ConsPlusNormal"/>
        <w:jc w:val="right"/>
      </w:pPr>
      <w:r>
        <w:t>и плановый период 2020 и 2021 годов"</w:t>
      </w:r>
    </w:p>
    <w:p w:rsidR="0007105A" w:rsidRDefault="0007105A" w:rsidP="0007105A">
      <w:pPr>
        <w:pStyle w:val="ConsPlusNormal"/>
        <w:jc w:val="both"/>
      </w:pPr>
    </w:p>
    <w:p w:rsidR="0007105A" w:rsidRDefault="0007105A" w:rsidP="0007105A">
      <w:pPr>
        <w:pStyle w:val="ConsPlusTitle"/>
        <w:jc w:val="center"/>
      </w:pPr>
      <w:bookmarkStart w:id="0" w:name="P2690"/>
      <w:bookmarkEnd w:id="0"/>
      <w:r>
        <w:t>НОРМАТИВЫ</w:t>
      </w:r>
    </w:p>
    <w:p w:rsidR="0007105A" w:rsidRDefault="0007105A" w:rsidP="0007105A">
      <w:pPr>
        <w:pStyle w:val="ConsPlusTitle"/>
        <w:jc w:val="center"/>
      </w:pPr>
      <w:r>
        <w:t>РАСПРЕДЕЛЕНИЯ ДОХОДОВ МЕЖДУ БЮДЖЕТОМ КРАЯ, БЮДЖЕТОМ</w:t>
      </w:r>
    </w:p>
    <w:p w:rsidR="0007105A" w:rsidRDefault="0007105A" w:rsidP="0007105A">
      <w:pPr>
        <w:pStyle w:val="ConsPlusTitle"/>
        <w:jc w:val="center"/>
      </w:pPr>
      <w:r>
        <w:t>ТЕРРИТОРИАЛЬНОГО ФОНДА ОБЯЗАТЕЛЬНОГО МЕДИЦИНСКОГО</w:t>
      </w:r>
    </w:p>
    <w:p w:rsidR="0007105A" w:rsidRDefault="0007105A" w:rsidP="0007105A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07105A" w:rsidRDefault="0007105A" w:rsidP="0007105A">
      <w:pPr>
        <w:pStyle w:val="ConsPlusTitle"/>
        <w:jc w:val="center"/>
      </w:pPr>
      <w:r>
        <w:t>ОБРАЗОВАНИЙ ЗАБАЙКАЛЬСКОГО КРАЯ НА 2019 ГОД И ПЛАНОВЫЙ</w:t>
      </w:r>
    </w:p>
    <w:p w:rsidR="0007105A" w:rsidRDefault="0007105A" w:rsidP="0007105A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07105A" w:rsidRDefault="0007105A" w:rsidP="0007105A">
      <w:pPr>
        <w:spacing w:after="1"/>
      </w:pPr>
    </w:p>
    <w:tbl>
      <w:tblPr>
        <w:tblW w:w="10206" w:type="dxa"/>
        <w:jc w:val="right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"/>
        <w:gridCol w:w="2872"/>
        <w:gridCol w:w="876"/>
        <w:gridCol w:w="1110"/>
        <w:gridCol w:w="446"/>
        <w:gridCol w:w="1002"/>
        <w:gridCol w:w="1066"/>
        <w:gridCol w:w="729"/>
        <w:gridCol w:w="224"/>
        <w:gridCol w:w="41"/>
        <w:gridCol w:w="1795"/>
      </w:tblGrid>
      <w:tr w:rsidR="0007105A" w:rsidTr="0007105A">
        <w:trPr>
          <w:gridAfter w:val="3"/>
          <w:wAfter w:w="2060" w:type="dxa"/>
          <w:jc w:val="right"/>
        </w:trPr>
        <w:tc>
          <w:tcPr>
            <w:tcW w:w="8146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7105A" w:rsidRDefault="0007105A" w:rsidP="003851D8">
            <w:pPr>
              <w:pStyle w:val="ConsPlusNormal"/>
              <w:jc w:val="center"/>
            </w:pPr>
            <w:bookmarkStart w:id="1" w:name="_GoBack"/>
            <w:r>
              <w:rPr>
                <w:color w:val="392C69"/>
              </w:rPr>
              <w:t>Список изменяющих документов</w:t>
            </w:r>
          </w:p>
          <w:p w:rsidR="0007105A" w:rsidRDefault="0007105A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07105A" w:rsidRDefault="0007105A" w:rsidP="003851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5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6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Merge w:val="restart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7289" w:type="dxa"/>
            <w:gridSpan w:val="9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Merge/>
          </w:tcPr>
          <w:p w:rsidR="0007105A" w:rsidRDefault="0007105A" w:rsidP="003851D8"/>
        </w:tc>
        <w:tc>
          <w:tcPr>
            <w:tcW w:w="876" w:type="dxa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110" w:type="dxa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448" w:type="dxa"/>
            <w:gridSpan w:val="2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066" w:type="dxa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953" w:type="dxa"/>
            <w:gridSpan w:val="2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836" w:type="dxa"/>
            <w:gridSpan w:val="2"/>
            <w:vAlign w:val="center"/>
          </w:tcPr>
          <w:p w:rsidR="0007105A" w:rsidRDefault="0007105A" w:rsidP="003851D8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07105A" w:rsidRDefault="0007105A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8" w:type="dxa"/>
            <w:gridSpan w:val="2"/>
          </w:tcPr>
          <w:p w:rsidR="0007105A" w:rsidRDefault="0007105A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3" w:type="dxa"/>
            <w:gridSpan w:val="2"/>
          </w:tcPr>
          <w:p w:rsidR="0007105A" w:rsidRDefault="0007105A" w:rsidP="003851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6" w:type="dxa"/>
            <w:gridSpan w:val="2"/>
          </w:tcPr>
          <w:p w:rsidR="0007105A" w:rsidRDefault="0007105A" w:rsidP="003851D8">
            <w:pPr>
              <w:pStyle w:val="ConsPlusNormal"/>
              <w:jc w:val="center"/>
            </w:pPr>
            <w:r>
              <w:t>7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</w:t>
            </w:r>
            <w:r>
              <w:lastRenderedPageBreak/>
              <w:t>Федерации</w:t>
            </w:r>
            <w:proofErr w:type="gramEnd"/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37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Государственная пошлина за выдачу разрешения на </w:t>
            </w:r>
            <w:r>
              <w:lastRenderedPageBreak/>
              <w:t xml:space="preserve">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37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37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</w:t>
            </w:r>
            <w:hyperlink w:anchor="P37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</w:t>
            </w:r>
            <w:r>
              <w:lastRenderedPageBreak/>
              <w:t>местные бюджеты, мобилизуемый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Налог на пользователей </w:t>
            </w:r>
            <w:r>
              <w:lastRenderedPageBreak/>
              <w:t>автомобильных дорог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Налог с имущества, переходящего в порядке наследования или дарения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876" w:type="dxa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448" w:type="dxa"/>
            <w:gridSpan w:val="2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53" w:type="dxa"/>
            <w:gridSpan w:val="2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836" w:type="dxa"/>
            <w:gridSpan w:val="2"/>
            <w:tcBorders>
              <w:bottom w:val="nil"/>
            </w:tcBorders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10161" w:type="dxa"/>
            <w:gridSpan w:val="10"/>
            <w:tcBorders>
              <w:top w:val="nil"/>
            </w:tcBorders>
          </w:tcPr>
          <w:p w:rsidR="0007105A" w:rsidRDefault="0007105A" w:rsidP="003851D8">
            <w:pPr>
              <w:pStyle w:val="ConsPlusNormal"/>
              <w:jc w:val="both"/>
            </w:pPr>
            <w:proofErr w:type="gramStart"/>
            <w:r>
              <w:t xml:space="preserve">(в ред. Законов Забайкальского края от 06.06.2019 </w:t>
            </w:r>
            <w:hyperlink r:id="rId7" w:history="1">
              <w:r>
                <w:rPr>
                  <w:color w:val="0000FF"/>
                </w:rPr>
                <w:t>N 1729-ЗЗК</w:t>
              </w:r>
            </w:hyperlink>
            <w:r>
              <w:t>, от 17.09.2019</w:t>
            </w:r>
            <w:proofErr w:type="gramEnd"/>
          </w:p>
          <w:p w:rsidR="0007105A" w:rsidRDefault="0007105A" w:rsidP="003851D8">
            <w:pPr>
              <w:pStyle w:val="ConsPlusNormal"/>
              <w:jc w:val="both"/>
            </w:pPr>
            <w:hyperlink r:id="rId8" w:history="1">
              <w:proofErr w:type="gramStart"/>
              <w:r>
                <w:rPr>
                  <w:color w:val="0000FF"/>
                </w:rPr>
                <w:t>N 1761-ЗЗК</w:t>
              </w:r>
            </w:hyperlink>
            <w:r>
              <w:t>)</w:t>
            </w:r>
            <w:proofErr w:type="gramEnd"/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Сборы за выдачу органами государственной власти субъектов Российской </w:t>
            </w:r>
            <w:r>
              <w:lastRenderedPageBreak/>
              <w:t>Федерации лицензий на розничную продажу алкогольной продукции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Доходы от размещения временно свободных </w:t>
            </w:r>
            <w:r>
              <w:lastRenderedPageBreak/>
              <w:t>средств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Плата за оказание услуг по </w:t>
            </w:r>
            <w:r>
              <w:lastRenderedPageBreak/>
              <w:t>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Доходы, поступающие в </w:t>
            </w:r>
            <w:r>
              <w:lastRenderedPageBreak/>
              <w:t>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Прочие доходы от компенсации затрат бюджетов территориальных фондов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Денежные взыскания (штрафы) и иные суммы, взыскиваемые с лиц, виновных в совершении </w:t>
            </w:r>
            <w:r>
              <w:lastRenderedPageBreak/>
              <w:t>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Доходы от возмещения ущерба при возникновении </w:t>
            </w:r>
            <w:r>
              <w:lastRenderedPageBreak/>
              <w:t>иных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</w:t>
            </w:r>
            <w:r>
              <w:lastRenderedPageBreak/>
              <w:t>округов)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Поступления сумм в </w:t>
            </w:r>
            <w:r>
              <w:lastRenderedPageBreak/>
              <w:t>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lastRenderedPageBreak/>
              <w:t>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87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556" w:type="dxa"/>
            <w:gridSpan w:val="2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tr w:rsidR="0007105A" w:rsidTr="0007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5" w:type="dxa"/>
          <w:jc w:val="right"/>
        </w:trPr>
        <w:tc>
          <w:tcPr>
            <w:tcW w:w="2872" w:type="dxa"/>
            <w:vAlign w:val="bottom"/>
          </w:tcPr>
          <w:p w:rsidR="0007105A" w:rsidRDefault="0007105A" w:rsidP="003851D8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876" w:type="dxa"/>
            <w:vAlign w:val="bottom"/>
          </w:tcPr>
          <w:p w:rsidR="0007105A" w:rsidRDefault="0007105A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02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066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994" w:type="dxa"/>
            <w:gridSpan w:val="3"/>
            <w:vAlign w:val="bottom"/>
          </w:tcPr>
          <w:p w:rsidR="0007105A" w:rsidRDefault="0007105A" w:rsidP="003851D8">
            <w:pPr>
              <w:pStyle w:val="ConsPlusNormal"/>
            </w:pPr>
          </w:p>
        </w:tc>
        <w:tc>
          <w:tcPr>
            <w:tcW w:w="1795" w:type="dxa"/>
            <w:vAlign w:val="bottom"/>
          </w:tcPr>
          <w:p w:rsidR="0007105A" w:rsidRDefault="0007105A" w:rsidP="003851D8">
            <w:pPr>
              <w:pStyle w:val="ConsPlusNormal"/>
            </w:pPr>
          </w:p>
        </w:tc>
      </w:tr>
      <w:bookmarkEnd w:id="1"/>
    </w:tbl>
    <w:p w:rsidR="0007105A" w:rsidRDefault="0007105A" w:rsidP="0007105A">
      <w:pPr>
        <w:sectPr w:rsidR="0007105A" w:rsidSect="0007105A">
          <w:pgSz w:w="11905" w:h="16838"/>
          <w:pgMar w:top="851" w:right="624" w:bottom="1134" w:left="510" w:header="0" w:footer="0" w:gutter="0"/>
          <w:cols w:space="720"/>
          <w:docGrid w:linePitch="299"/>
        </w:sectPr>
      </w:pPr>
    </w:p>
    <w:p w:rsidR="0007105A" w:rsidRDefault="0007105A" w:rsidP="0007105A">
      <w:pPr>
        <w:pStyle w:val="ConsPlusNormal"/>
        <w:jc w:val="both"/>
      </w:pPr>
    </w:p>
    <w:p w:rsidR="0007105A" w:rsidRDefault="0007105A" w:rsidP="0007105A">
      <w:pPr>
        <w:pStyle w:val="ConsPlusNormal"/>
        <w:ind w:firstLine="540"/>
        <w:jc w:val="both"/>
      </w:pPr>
      <w:r>
        <w:t>--------------------------------</w:t>
      </w:r>
    </w:p>
    <w:p w:rsidR="0007105A" w:rsidRDefault="0007105A" w:rsidP="0007105A">
      <w:pPr>
        <w:pStyle w:val="ConsPlusNormal"/>
        <w:spacing w:before="220"/>
        <w:ind w:firstLine="540"/>
        <w:jc w:val="both"/>
      </w:pPr>
      <w:bookmarkStart w:id="2" w:name="P3727"/>
      <w:bookmarkEnd w:id="2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07105A" w:rsidRDefault="0007105A" w:rsidP="0007105A">
      <w:pPr>
        <w:pStyle w:val="ConsPlusNormal"/>
        <w:jc w:val="both"/>
      </w:pPr>
    </w:p>
    <w:p w:rsidR="0007105A" w:rsidRDefault="0007105A" w:rsidP="0007105A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07105A" w:rsidRDefault="0007105A" w:rsidP="0007105A">
      <w:pPr>
        <w:pStyle w:val="ConsPlusNormal"/>
        <w:jc w:val="both"/>
      </w:pPr>
    </w:p>
    <w:p w:rsidR="0007105A" w:rsidRDefault="0007105A" w:rsidP="0007105A">
      <w:pPr>
        <w:pStyle w:val="ConsPlusNormal"/>
        <w:jc w:val="both"/>
      </w:pPr>
    </w:p>
    <w:p w:rsidR="0007105A" w:rsidRDefault="0007105A" w:rsidP="0007105A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5A"/>
    <w:rsid w:val="0007105A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1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1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1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10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1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1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1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1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10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E7EAA4D1998F16DE54911275183E4A57DBB246A9A0C26CFDF22F76AB7177EA2833F35CA7AA8ADDEBA17D10313114FA46CB62E6D0DE07AE496F74F65HAy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8E7EAA4D1998F16DE54911275183E4A57DBB246A9A0C25CFDD26F76AB7177EA2833F35CA7AA8ADDEBA17D1021E114FA46CB62E6D0DE07AE496F74F65HAy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E7EAA4D1998F16DE54911275183E4A57DBB246A9A0C26CFDF22F76AB7177EA2833F35CA7AA8ADDEBA17D10313114FA46CB62E6D0DE07AE496F74F65HAyAF" TargetMode="External"/><Relationship Id="rId5" Type="http://schemas.openxmlformats.org/officeDocument/2006/relationships/hyperlink" Target="consultantplus://offline/ref=428E7EAA4D1998F16DE54911275183E4A57DBB246A9A0C25CFDD26F76AB7177EA2833F35CA7AA8ADDEBA17D1021E114FA46CB62E6D0DE07AE496F74F65HAy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3557</Words>
  <Characters>20276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2020-01-20T09:57:00Z</dcterms:created>
  <dcterms:modified xsi:type="dcterms:W3CDTF">2020-01-20T10:00:00Z</dcterms:modified>
</cp:coreProperties>
</file>