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FD" w:rsidRDefault="007E34FD" w:rsidP="007E34FD">
      <w:pPr>
        <w:pStyle w:val="ConsPlusNormal"/>
        <w:jc w:val="right"/>
        <w:outlineLvl w:val="0"/>
      </w:pPr>
      <w:r>
        <w:t>Приложение 18</w:t>
      </w:r>
    </w:p>
    <w:p w:rsidR="007E34FD" w:rsidRDefault="007E34FD" w:rsidP="007E34FD">
      <w:pPr>
        <w:pStyle w:val="ConsPlusNormal"/>
        <w:jc w:val="right"/>
      </w:pPr>
      <w:r>
        <w:t>к Закону Забайкальского края</w:t>
      </w:r>
    </w:p>
    <w:p w:rsidR="007E34FD" w:rsidRDefault="007E34FD" w:rsidP="007E34FD">
      <w:pPr>
        <w:pStyle w:val="ConsPlusNormal"/>
        <w:jc w:val="right"/>
      </w:pPr>
      <w:r>
        <w:t>"О бюджете Забайкальского края на 2019 год</w:t>
      </w:r>
    </w:p>
    <w:p w:rsidR="007E34FD" w:rsidRDefault="007E34FD" w:rsidP="007E34FD">
      <w:pPr>
        <w:pStyle w:val="ConsPlusNormal"/>
        <w:jc w:val="right"/>
      </w:pPr>
      <w:r>
        <w:t>и плановый период 2020 и 2021 годов"</w:t>
      </w:r>
    </w:p>
    <w:p w:rsidR="007E34FD" w:rsidRDefault="007E34FD" w:rsidP="007E34FD">
      <w:pPr>
        <w:pStyle w:val="ConsPlusNormal"/>
        <w:jc w:val="both"/>
      </w:pPr>
    </w:p>
    <w:p w:rsidR="007E34FD" w:rsidRDefault="007E34FD" w:rsidP="007E34FD">
      <w:pPr>
        <w:pStyle w:val="ConsPlusTitle"/>
        <w:jc w:val="center"/>
      </w:pPr>
      <w:bookmarkStart w:id="0" w:name="P115949"/>
      <w:bookmarkEnd w:id="0"/>
      <w:r>
        <w:t>РАСПРЕДЕЛЕНИЕ</w:t>
      </w:r>
    </w:p>
    <w:p w:rsidR="007E34FD" w:rsidRDefault="007E34FD" w:rsidP="007E34FD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7E34FD" w:rsidRDefault="007E34FD" w:rsidP="007E34FD">
      <w:pPr>
        <w:pStyle w:val="ConsPlusTitle"/>
        <w:jc w:val="center"/>
      </w:pPr>
      <w:r>
        <w:t>ОБЯЗАТЕЛЬСТВ 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7E34FD" w:rsidRDefault="007E34FD" w:rsidP="007E34F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7E34FD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E34FD" w:rsidRDefault="007E34FD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34FD" w:rsidRDefault="007E34FD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E34FD" w:rsidRDefault="007E34FD" w:rsidP="001B7C48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</w:tbl>
    <w:p w:rsidR="007E34FD" w:rsidRDefault="007E34FD" w:rsidP="007E34FD">
      <w:pPr>
        <w:pStyle w:val="ConsPlusNormal"/>
        <w:jc w:val="both"/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7"/>
        <w:gridCol w:w="1494"/>
        <w:gridCol w:w="693"/>
        <w:gridCol w:w="694"/>
        <w:gridCol w:w="1147"/>
        <w:gridCol w:w="1234"/>
        <w:gridCol w:w="1234"/>
      </w:tblGrid>
      <w:tr w:rsidR="007E34FD" w:rsidTr="007E34FD">
        <w:trPr>
          <w:jc w:val="center"/>
        </w:trPr>
        <w:tc>
          <w:tcPr>
            <w:tcW w:w="4388" w:type="dxa"/>
            <w:vMerge w:val="restart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122" w:type="dxa"/>
            <w:gridSpan w:val="4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528" w:type="dxa"/>
            <w:gridSpan w:val="2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  <w:vMerge/>
          </w:tcPr>
          <w:p w:rsidR="007E34FD" w:rsidRDefault="007E34FD" w:rsidP="001B7C48"/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7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4 563 542,7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4 640</w:t>
            </w:r>
            <w:bookmarkStart w:id="1" w:name="_GoBack"/>
            <w:bookmarkEnd w:id="1"/>
            <w:r>
              <w:t xml:space="preserve"> 568,4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17 1 01 51370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2 044,9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2 183,3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17 1 01 52200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26 870,5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27 945,7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17 1 01 52400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104,7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108,0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17 1 01 52500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468 219,3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468 219,3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17 1 01 52800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11,1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17 1 01 82101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282 843,3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281 015,6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lastRenderedPageBreak/>
              <w:t>Ежемесячные денежные выплаты ветеранам труда Забайкальского края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17 1 01 82102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183 991,0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182 802,0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17 1 01 82103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7 404,1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7 356,2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17 1 01 82104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5 439,7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5 404,5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17 1 01 82205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10 638,8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10 570,0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17 1 01 82602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42 408,5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42 135,6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17 1 01 82607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8 067,2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17 1 01 82608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440,3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437,5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17 1 01 82609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2 796,8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2 778,8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17 1 01 84001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216 008,6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213 043,9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17 1 01 84002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89 560,4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88 331,2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17 1 01 84062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6 299,0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6 212,6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17 1 01 84522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378 762,6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373 564,1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17 1 01 84523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203 114,2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200 326,5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17 1 01 84531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16 607,9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16 380,0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17 1 01 84800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187 659,7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185 084,1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17 1 01 89200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23 061,3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22 744,7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17 1 01 89505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877,7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865,7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1 01 R4620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6 732,1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6 599,8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17 3 04 52600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17 875,5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18 664,5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17 3 04 52700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27 709,3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28 770,0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17 3 04 53800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973 926,3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1 011 194,5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17 3 04 82511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217 414,5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216 009,6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17 3 04 82512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77 479,8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76 979,2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17 3 04 82601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89,3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88,8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 xml:space="preserve">Ежемесячная компенсация расходов на оплату жилого помещения и </w:t>
            </w:r>
            <w:r>
              <w:lastRenderedPageBreak/>
              <w:t>коммунальных услуг многодетным семьям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lastRenderedPageBreak/>
              <w:t>17 3 04 84514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63 041,5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62 176,2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3 P1 50840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409 848,3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426 252,0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3 P1 55730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362 464,0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414 750,8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  <w:r>
              <w:t>17 3 P1 82515</w:t>
            </w: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243 678,0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233 495,4</w:t>
            </w:r>
          </w:p>
        </w:tc>
      </w:tr>
      <w:tr w:rsidR="007E34FD" w:rsidTr="007E34FD">
        <w:trPr>
          <w:jc w:val="center"/>
        </w:trPr>
        <w:tc>
          <w:tcPr>
            <w:tcW w:w="4388" w:type="dxa"/>
          </w:tcPr>
          <w:p w:rsidR="007E34FD" w:rsidRDefault="007E34FD" w:rsidP="001B7C48">
            <w:pPr>
              <w:pStyle w:val="ConsPlusNormal"/>
            </w:pPr>
            <w:r>
              <w:t>Итого расходов</w:t>
            </w:r>
          </w:p>
        </w:tc>
        <w:tc>
          <w:tcPr>
            <w:tcW w:w="1531" w:type="dxa"/>
            <w:vAlign w:val="center"/>
          </w:tcPr>
          <w:p w:rsidR="007E34FD" w:rsidRDefault="007E34FD" w:rsidP="001B7C48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7E34FD" w:rsidRDefault="007E34FD" w:rsidP="001B7C48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7E34FD" w:rsidRDefault="007E34FD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7E34FD" w:rsidRDefault="007E34FD" w:rsidP="001B7C48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4 563 542,7</w:t>
            </w:r>
          </w:p>
        </w:tc>
        <w:tc>
          <w:tcPr>
            <w:tcW w:w="1264" w:type="dxa"/>
            <w:vAlign w:val="center"/>
          </w:tcPr>
          <w:p w:rsidR="007E34FD" w:rsidRDefault="007E34FD" w:rsidP="001B7C48">
            <w:pPr>
              <w:pStyle w:val="ConsPlusNormal"/>
              <w:jc w:val="right"/>
            </w:pPr>
            <w:r>
              <w:t>4 640 568,4</w:t>
            </w:r>
          </w:p>
        </w:tc>
      </w:tr>
    </w:tbl>
    <w:p w:rsidR="007E34FD" w:rsidRDefault="007E34FD" w:rsidP="007E34FD">
      <w:pPr>
        <w:sectPr w:rsidR="007E34FD" w:rsidSect="007E34FD">
          <w:pgSz w:w="11905" w:h="16838"/>
          <w:pgMar w:top="1134" w:right="567" w:bottom="1134" w:left="567" w:header="0" w:footer="0" w:gutter="0"/>
          <w:cols w:space="720"/>
          <w:docGrid w:linePitch="299"/>
        </w:sectPr>
      </w:pPr>
    </w:p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FD"/>
    <w:rsid w:val="00375645"/>
    <w:rsid w:val="007E34FD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4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0F6DF0CC9F3547AE036F2640E91D9CC2B5EE991339839D798BBAB2B73F1BAEA1BA99889C9FA978C087C8D4EBB4E011B33C58CF6B028259E3E3015A570256X" TargetMode="External"/><Relationship Id="rId5" Type="http://schemas.openxmlformats.org/officeDocument/2006/relationships/hyperlink" Target="consultantplus://offline/ref=220F6DF0CC9F3547AE036F2640E91D9CC2B5EE991339839C728FBEB2B73F1BAEA1BA99889C9FA978C082CCD7EEB1E011B33C58CF6B028259E3E3015A570256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2019-11-21T00:57:00Z</dcterms:created>
  <dcterms:modified xsi:type="dcterms:W3CDTF">2019-11-21T00:58:00Z</dcterms:modified>
</cp:coreProperties>
</file>