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2000000" w14:textId="570D90F6" w:rsidR="00FB62FB" w:rsidRPr="00B62E7C" w:rsidRDefault="00B62E7C" w:rsidP="00B62E7C">
      <w:pPr>
        <w:spacing w:after="0" w:line="360" w:lineRule="auto"/>
        <w:jc w:val="center"/>
        <w:rPr>
          <w:rFonts w:ascii="Times New Roman" w:hAnsi="Times New Roman"/>
          <w:b/>
          <w:bCs/>
          <w:color w:val="auto"/>
          <w:sz w:val="28"/>
          <w:szCs w:val="28"/>
        </w:rPr>
      </w:pPr>
      <w:bookmarkStart w:id="0" w:name="_GoBack"/>
      <w:r w:rsidRPr="00B62E7C">
        <w:rPr>
          <w:rFonts w:ascii="Times New Roman" w:hAnsi="Times New Roman"/>
          <w:b/>
          <w:bCs/>
          <w:color w:val="auto"/>
          <w:sz w:val="28"/>
          <w:szCs w:val="28"/>
        </w:rPr>
        <w:t>Что такое сервис "второй руки" и как он помогает защитить накопления</w:t>
      </w:r>
      <w:r>
        <w:rPr>
          <w:rFonts w:ascii="Times New Roman" w:hAnsi="Times New Roman"/>
          <w:b/>
          <w:bCs/>
          <w:color w:val="auto"/>
          <w:sz w:val="28"/>
          <w:szCs w:val="28"/>
        </w:rPr>
        <w:t>?</w:t>
      </w:r>
    </w:p>
    <w:bookmarkEnd w:id="0"/>
    <w:p w14:paraId="46512D6B" w14:textId="565AEA4F" w:rsidR="00C10A8D" w:rsidRPr="00B62E7C" w:rsidRDefault="00B62E7C" w:rsidP="00C10A8D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62E7C">
        <w:rPr>
          <w:rFonts w:ascii="Times New Roman" w:hAnsi="Times New Roman"/>
          <w:sz w:val="28"/>
          <w:szCs w:val="28"/>
        </w:rPr>
        <w:t>Финансовое мошенничество в подавляющем большинстве строится на социальной инженерии: под воздействием обмана, угроз/запугивания человек сам отдает свои деньги злоумышленникам. Чтобы предотвратить подобную практику, регулятор и кредитные учреждения внедряют</w:t>
      </w:r>
      <w:r w:rsidRPr="00B62E7C">
        <w:rPr>
          <w:rFonts w:ascii="Times New Roman" w:hAnsi="Times New Roman"/>
          <w:sz w:val="28"/>
          <w:szCs w:val="28"/>
        </w:rPr>
        <w:t xml:space="preserve"> различные инструменты безопасности. Одним из таких инструментов является сервис «второй руки». </w:t>
      </w:r>
      <w:r w:rsidR="00C10A8D" w:rsidRPr="00B62E7C">
        <w:rPr>
          <w:rFonts w:ascii="Times New Roman" w:hAnsi="Times New Roman"/>
          <w:sz w:val="28"/>
          <w:szCs w:val="28"/>
        </w:rPr>
        <w:t xml:space="preserve">Подробнее о сервисе </w:t>
      </w:r>
      <w:hyperlink r:id="rId7" w:history="1">
        <w:r w:rsidR="00C10A8D" w:rsidRPr="00B62E7C">
          <w:rPr>
            <w:rStyle w:val="a3"/>
            <w:rFonts w:ascii="Times New Roman" w:hAnsi="Times New Roman"/>
            <w:sz w:val="28"/>
            <w:szCs w:val="28"/>
          </w:rPr>
          <w:t>в интервью Комсомольской правде рассказала</w:t>
        </w:r>
      </w:hyperlink>
      <w:r w:rsidR="00C10A8D" w:rsidRPr="00B62E7C">
        <w:rPr>
          <w:rFonts w:ascii="Times New Roman" w:hAnsi="Times New Roman"/>
          <w:sz w:val="28"/>
          <w:szCs w:val="28"/>
        </w:rPr>
        <w:t xml:space="preserve"> эксперт проекта НИФИ Минфина России «</w:t>
      </w:r>
      <w:proofErr w:type="spellStart"/>
      <w:r w:rsidR="00C10A8D" w:rsidRPr="00B62E7C">
        <w:rPr>
          <w:rFonts w:ascii="Times New Roman" w:hAnsi="Times New Roman"/>
          <w:sz w:val="28"/>
          <w:szCs w:val="28"/>
        </w:rPr>
        <w:t>Моифинансы.рф</w:t>
      </w:r>
      <w:proofErr w:type="spellEnd"/>
      <w:r w:rsidR="00C10A8D" w:rsidRPr="00B62E7C">
        <w:rPr>
          <w:rFonts w:ascii="Times New Roman" w:hAnsi="Times New Roman"/>
          <w:sz w:val="28"/>
          <w:szCs w:val="28"/>
        </w:rPr>
        <w:t>» Ольга Дайнеко.</w:t>
      </w:r>
    </w:p>
    <w:p w14:paraId="03000000" w14:textId="72A7CBDB" w:rsidR="00FB62FB" w:rsidRPr="00B62E7C" w:rsidRDefault="00B62E7C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62E7C">
        <w:rPr>
          <w:rFonts w:ascii="Times New Roman" w:hAnsi="Times New Roman"/>
          <w:sz w:val="28"/>
          <w:szCs w:val="28"/>
        </w:rPr>
        <w:t xml:space="preserve">Законодательство с сентября 2025 г.  обязывает российские банки предоставлять доступ к такой услуге. Сервис «второй руки» позволяет клиенту банка назначить себе помощника (уполномоченное лицо), который может одобрять или отклонять </w:t>
      </w:r>
      <w:r w:rsidRPr="00B62E7C">
        <w:rPr>
          <w:rFonts w:ascii="Times New Roman" w:hAnsi="Times New Roman"/>
          <w:sz w:val="28"/>
          <w:szCs w:val="28"/>
        </w:rPr>
        <w:t xml:space="preserve">банковские переводы третьим лицам, снятие наличных. </w:t>
      </w:r>
    </w:p>
    <w:p w14:paraId="04000000" w14:textId="77777777" w:rsidR="00FB62FB" w:rsidRPr="00B62E7C" w:rsidRDefault="00B62E7C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62E7C">
        <w:rPr>
          <w:rFonts w:ascii="Times New Roman" w:hAnsi="Times New Roman"/>
          <w:sz w:val="28"/>
          <w:szCs w:val="28"/>
        </w:rPr>
        <w:t>Уполномоченным лицом может быть назначен не только родственник, но и любой другой человек, которому клиент банка доверяет. Однако есть ограничение-уполномоченным лицом не может стать человек, в отношение</w:t>
      </w:r>
      <w:r w:rsidRPr="00B62E7C">
        <w:rPr>
          <w:rFonts w:ascii="Times New Roman" w:hAnsi="Times New Roman"/>
          <w:sz w:val="28"/>
          <w:szCs w:val="28"/>
        </w:rPr>
        <w:t xml:space="preserve"> которого зафиксированы сведения о его причастности к экстремистской или террористической деятельности. </w:t>
      </w:r>
    </w:p>
    <w:p w14:paraId="05000000" w14:textId="77777777" w:rsidR="00FB62FB" w:rsidRPr="00B62E7C" w:rsidRDefault="00B62E7C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62E7C">
        <w:rPr>
          <w:rFonts w:ascii="Times New Roman" w:hAnsi="Times New Roman"/>
          <w:sz w:val="28"/>
          <w:szCs w:val="28"/>
        </w:rPr>
        <w:t>При подключении сервиса подписывается трехстороннее соглашение (между банком, клиентом и уполномоченным лицом), в котором указываются выбранные клиенто</w:t>
      </w:r>
      <w:r w:rsidRPr="00B62E7C">
        <w:rPr>
          <w:rFonts w:ascii="Times New Roman" w:hAnsi="Times New Roman"/>
          <w:sz w:val="28"/>
          <w:szCs w:val="28"/>
        </w:rPr>
        <w:t>м типы, виды и критерии операций, банковские счета/вклады, по которым требуется подтверждение от помощника. При этом человек, назначенный уполномоченным лицом, не имеет доступа к счетам, не может самостоятельно распоряжаться средствами на них, его полномоч</w:t>
      </w:r>
      <w:r w:rsidRPr="00B62E7C">
        <w:rPr>
          <w:rFonts w:ascii="Times New Roman" w:hAnsi="Times New Roman"/>
          <w:sz w:val="28"/>
          <w:szCs w:val="28"/>
        </w:rPr>
        <w:t>ия ограничены лишь возможностью одобрения или отклонения операций.</w:t>
      </w:r>
    </w:p>
    <w:p w14:paraId="06000000" w14:textId="77777777" w:rsidR="00FB62FB" w:rsidRPr="00B62E7C" w:rsidRDefault="00B62E7C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62E7C">
        <w:rPr>
          <w:rFonts w:ascii="Times New Roman" w:hAnsi="Times New Roman"/>
          <w:sz w:val="28"/>
          <w:szCs w:val="28"/>
        </w:rPr>
        <w:t xml:space="preserve">Когда клиент банка совершает операцию, банк уведомляет об этом назначенного помощника в соответствии с порядком уведомлений, описанном в соглашении. Это может быть в виде смс-сообщения, </w:t>
      </w:r>
      <w:proofErr w:type="spellStart"/>
      <w:r w:rsidRPr="00B62E7C">
        <w:rPr>
          <w:rFonts w:ascii="Times New Roman" w:hAnsi="Times New Roman"/>
          <w:sz w:val="28"/>
          <w:szCs w:val="28"/>
        </w:rPr>
        <w:t>пуш</w:t>
      </w:r>
      <w:proofErr w:type="spellEnd"/>
      <w:r w:rsidRPr="00B62E7C">
        <w:rPr>
          <w:rFonts w:ascii="Times New Roman" w:hAnsi="Times New Roman"/>
          <w:sz w:val="28"/>
          <w:szCs w:val="28"/>
        </w:rPr>
        <w:t xml:space="preserve">-уведомления или </w:t>
      </w:r>
      <w:r w:rsidRPr="00B62E7C">
        <w:rPr>
          <w:rFonts w:ascii="Times New Roman" w:hAnsi="Times New Roman"/>
          <w:sz w:val="28"/>
          <w:szCs w:val="28"/>
        </w:rPr>
        <w:lastRenderedPageBreak/>
        <w:t>иного способа оперативного информирования. Поле уведомления у помощника есть максимум 12 часов (в соглашении может быть установлен более короткий срок), чтобы отреагировать одобрением операции или отклонить ее. В случае отклонения операции</w:t>
      </w:r>
      <w:r w:rsidRPr="00B62E7C">
        <w:rPr>
          <w:rFonts w:ascii="Times New Roman" w:hAnsi="Times New Roman"/>
          <w:sz w:val="28"/>
          <w:szCs w:val="28"/>
        </w:rPr>
        <w:t xml:space="preserve"> у клиента есть возможность направить повторный запрос, на который уполномоченное лицо также должен отреагировать в установленные соглашением сроки. Отсутствие реакции приравнивается к отклонению операции.</w:t>
      </w:r>
    </w:p>
    <w:p w14:paraId="07000000" w14:textId="77777777" w:rsidR="00FB62FB" w:rsidRPr="00B62E7C" w:rsidRDefault="00B62E7C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62E7C">
        <w:rPr>
          <w:rFonts w:ascii="Times New Roman" w:hAnsi="Times New Roman"/>
          <w:sz w:val="28"/>
          <w:szCs w:val="28"/>
        </w:rPr>
        <w:t>При этом назначение уполномоченного лица не лишает</w:t>
      </w:r>
      <w:r w:rsidRPr="00B62E7C">
        <w:rPr>
          <w:rFonts w:ascii="Times New Roman" w:hAnsi="Times New Roman"/>
          <w:sz w:val="28"/>
          <w:szCs w:val="28"/>
        </w:rPr>
        <w:t xml:space="preserve"> возможности совершать типичные/бытовые операции без дополнительного одобрения (вносить средства на свои счета, оплачивать товары и услуги в торговых сетях (в т.ч. через Интернет), погашать кредиты, переводить деньги между своими счетами).  Подключение сер</w:t>
      </w:r>
      <w:r w:rsidRPr="00B62E7C">
        <w:rPr>
          <w:rFonts w:ascii="Times New Roman" w:hAnsi="Times New Roman"/>
          <w:sz w:val="28"/>
          <w:szCs w:val="28"/>
        </w:rPr>
        <w:t>виса «второй руки» нацелено прежде всего на защиту от мошенничества: предотвращение операций без добровольного согласия клиента, рисков хищения средств под влиянием обмана или при злоупотреблении доверием, а также вовлечения в деятельность по выводу и обна</w:t>
      </w:r>
      <w:r w:rsidRPr="00B62E7C">
        <w:rPr>
          <w:rFonts w:ascii="Times New Roman" w:hAnsi="Times New Roman"/>
          <w:sz w:val="28"/>
          <w:szCs w:val="28"/>
        </w:rPr>
        <w:t>личиванию денежных средств (</w:t>
      </w:r>
      <w:proofErr w:type="spellStart"/>
      <w:r w:rsidRPr="00B62E7C">
        <w:rPr>
          <w:rFonts w:ascii="Times New Roman" w:hAnsi="Times New Roman"/>
          <w:sz w:val="28"/>
          <w:szCs w:val="28"/>
        </w:rPr>
        <w:t>дроперство</w:t>
      </w:r>
      <w:proofErr w:type="spellEnd"/>
      <w:r w:rsidRPr="00B62E7C">
        <w:rPr>
          <w:rFonts w:ascii="Times New Roman" w:hAnsi="Times New Roman"/>
          <w:sz w:val="28"/>
          <w:szCs w:val="28"/>
        </w:rPr>
        <w:t xml:space="preserve">). Соглашение накладывает на уполномоченное лицо обязанность своевременно реагировать на уведомления, требующие подтверждения, запрет на разглашение конфиденциальной информации о счетах клиента. </w:t>
      </w:r>
    </w:p>
    <w:p w14:paraId="08000000" w14:textId="77777777" w:rsidR="00FB62FB" w:rsidRPr="00B62E7C" w:rsidRDefault="00B62E7C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62E7C">
        <w:rPr>
          <w:rFonts w:ascii="Times New Roman" w:hAnsi="Times New Roman"/>
          <w:sz w:val="28"/>
          <w:szCs w:val="28"/>
        </w:rPr>
        <w:t>Чтобы назначить себе п</w:t>
      </w:r>
      <w:r w:rsidRPr="00B62E7C">
        <w:rPr>
          <w:rFonts w:ascii="Times New Roman" w:hAnsi="Times New Roman"/>
          <w:sz w:val="28"/>
          <w:szCs w:val="28"/>
        </w:rPr>
        <w:t xml:space="preserve">омощника, нужно обратиться в банк с заявлением. Процедуру оформления соглашения определяет банк: где-то требуется личное присутствие клиента и выбранного им помощника, а где-то процедуру можно пройти дистанционно через мобильное приложение/онлайн-банк или </w:t>
      </w:r>
      <w:r w:rsidRPr="00B62E7C">
        <w:rPr>
          <w:rFonts w:ascii="Times New Roman" w:hAnsi="Times New Roman"/>
          <w:sz w:val="28"/>
          <w:szCs w:val="28"/>
        </w:rPr>
        <w:t>сервис поддержки (чаще это доступно, когда стороны являются клиентами одного банка).  Услуга подключается в день заключения соглашения, а смена помощника или отказ от услуги будет действовать только через 24 часа.  Более долгий срок отключения/замены «втор</w:t>
      </w:r>
      <w:r w:rsidRPr="00B62E7C">
        <w:rPr>
          <w:rFonts w:ascii="Times New Roman" w:hAnsi="Times New Roman"/>
          <w:sz w:val="28"/>
          <w:szCs w:val="28"/>
        </w:rPr>
        <w:t xml:space="preserve">ой руки» направлен на снижение риска, когда отказ от услуги совершается под влиянием злоумышленника. </w:t>
      </w:r>
    </w:p>
    <w:p w14:paraId="09000000" w14:textId="77777777" w:rsidR="00FB62FB" w:rsidRPr="00B62E7C" w:rsidRDefault="00B62E7C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62E7C">
        <w:rPr>
          <w:rFonts w:ascii="Times New Roman" w:hAnsi="Times New Roman"/>
          <w:sz w:val="28"/>
          <w:szCs w:val="28"/>
        </w:rPr>
        <w:lastRenderedPageBreak/>
        <w:t>Условия подключения сервиса формируются банком самостоятельно (за использование сервиса может взиматься плата, содержаться условия о том, чтобы стороны со</w:t>
      </w:r>
      <w:r w:rsidRPr="00B62E7C">
        <w:rPr>
          <w:rFonts w:ascii="Times New Roman" w:hAnsi="Times New Roman"/>
          <w:sz w:val="28"/>
          <w:szCs w:val="28"/>
        </w:rPr>
        <w:t xml:space="preserve">глашения были клиентами одного банка и другие). Поэтому подробные условия предоставления такой услуги необходимо уточнять в своем банке. </w:t>
      </w:r>
    </w:p>
    <w:p w14:paraId="0A000000" w14:textId="77777777" w:rsidR="00FB62FB" w:rsidRPr="00B62E7C" w:rsidRDefault="00B62E7C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62E7C">
        <w:rPr>
          <w:rFonts w:ascii="Times New Roman" w:hAnsi="Times New Roman"/>
          <w:sz w:val="28"/>
          <w:szCs w:val="28"/>
        </w:rPr>
        <w:t>Сервис «второй руки»-способ значительно минимизировать риски мошенничества. Однако использование такой услуги не освоб</w:t>
      </w:r>
      <w:r w:rsidRPr="00B62E7C">
        <w:rPr>
          <w:rFonts w:ascii="Times New Roman" w:hAnsi="Times New Roman"/>
          <w:sz w:val="28"/>
          <w:szCs w:val="28"/>
        </w:rPr>
        <w:t>ождает от соблюдения базовых правил финансовой безопасности (не передавать средство платежа третьим лицам, не передавать доступ к своим счетам (</w:t>
      </w:r>
      <w:proofErr w:type="spellStart"/>
      <w:r w:rsidRPr="00B62E7C">
        <w:rPr>
          <w:rFonts w:ascii="Times New Roman" w:hAnsi="Times New Roman"/>
          <w:sz w:val="28"/>
          <w:szCs w:val="28"/>
        </w:rPr>
        <w:t>пин-коды</w:t>
      </w:r>
      <w:proofErr w:type="spellEnd"/>
      <w:r w:rsidRPr="00B62E7C">
        <w:rPr>
          <w:rFonts w:ascii="Times New Roman" w:hAnsi="Times New Roman"/>
          <w:sz w:val="28"/>
          <w:szCs w:val="28"/>
        </w:rPr>
        <w:t>, коды безопасности), своевременно уведомлять банк об утрате/компрометации банковской карты, не использо</w:t>
      </w:r>
      <w:r w:rsidRPr="00B62E7C">
        <w:rPr>
          <w:rFonts w:ascii="Times New Roman" w:hAnsi="Times New Roman"/>
          <w:sz w:val="28"/>
          <w:szCs w:val="28"/>
        </w:rPr>
        <w:t>вать публичные сети для доступа к банковским приложениям, не переходить по присланным и подозрительным ссылкам, не выполнять сторонние просьбы по осуществлению банковских переводов/получению и обналичиванию средств и ряд других).</w:t>
      </w:r>
    </w:p>
    <w:sectPr w:rsidR="00FB62FB" w:rsidRPr="00B62E7C">
      <w:headerReference w:type="default" r:id="rId8"/>
      <w:pgSz w:w="11906" w:h="16838"/>
      <w:pgMar w:top="1134" w:right="850" w:bottom="1134" w:left="1701" w:header="708" w:footer="708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2FD50EC" w14:textId="77777777" w:rsidR="00B62E7C" w:rsidRDefault="00B62E7C" w:rsidP="00B62E7C">
      <w:pPr>
        <w:spacing w:after="0" w:line="240" w:lineRule="auto"/>
      </w:pPr>
      <w:r>
        <w:separator/>
      </w:r>
    </w:p>
  </w:endnote>
  <w:endnote w:type="continuationSeparator" w:id="0">
    <w:p w14:paraId="3FE8EC9B" w14:textId="77777777" w:rsidR="00B62E7C" w:rsidRDefault="00B62E7C" w:rsidP="00B62E7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XO Thames">
    <w:altName w:val="Cambria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2D00D2D" w14:textId="77777777" w:rsidR="00B62E7C" w:rsidRDefault="00B62E7C" w:rsidP="00B62E7C">
      <w:pPr>
        <w:spacing w:after="0" w:line="240" w:lineRule="auto"/>
      </w:pPr>
      <w:r>
        <w:separator/>
      </w:r>
    </w:p>
  </w:footnote>
  <w:footnote w:type="continuationSeparator" w:id="0">
    <w:p w14:paraId="6ED8525D" w14:textId="77777777" w:rsidR="00B62E7C" w:rsidRDefault="00B62E7C" w:rsidP="00B62E7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50DFC57" w14:textId="3A97467C" w:rsidR="00B62E7C" w:rsidRDefault="00B62E7C">
    <w:pPr>
      <w:pStyle w:val="ac"/>
    </w:pPr>
    <w:r w:rsidRPr="006E316C">
      <w:rPr>
        <w:noProof/>
      </w:rPr>
      <w:drawing>
        <wp:anchor distT="0" distB="0" distL="114300" distR="114300" simplePos="0" relativeHeight="251658240" behindDoc="0" locked="0" layoutInCell="1" allowOverlap="1" wp14:anchorId="5877C56F" wp14:editId="3C496272">
          <wp:simplePos x="0" y="0"/>
          <wp:positionH relativeFrom="column">
            <wp:posOffset>4749165</wp:posOffset>
          </wp:positionH>
          <wp:positionV relativeFrom="paragraph">
            <wp:posOffset>-49530</wp:posOffset>
          </wp:positionV>
          <wp:extent cx="1282616" cy="323850"/>
          <wp:effectExtent l="0" t="0" r="0" b="0"/>
          <wp:wrapNone/>
          <wp:docPr id="1" name="Рисунок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82616" cy="3238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3DE53412"/>
    <w:multiLevelType w:val="multilevel"/>
    <w:tmpl w:val="C3647454"/>
    <w:lvl w:ilvl="0">
      <w:start w:val="1"/>
      <w:numFmt w:val="decimal"/>
      <w:lvlText w:val="%1."/>
      <w:lvlJc w:val="left"/>
      <w:pPr>
        <w:widowControl/>
        <w:ind w:left="720" w:hanging="360"/>
      </w:pPr>
    </w:lvl>
    <w:lvl w:ilvl="1">
      <w:start w:val="1"/>
      <w:numFmt w:val="lowerLetter"/>
      <w:lvlText w:val="%2."/>
      <w:lvlJc w:val="left"/>
      <w:pPr>
        <w:widowControl/>
        <w:ind w:left="1440" w:hanging="360"/>
      </w:pPr>
    </w:lvl>
    <w:lvl w:ilvl="2">
      <w:start w:val="1"/>
      <w:numFmt w:val="lowerRoman"/>
      <w:lvlText w:val="%3."/>
      <w:lvlJc w:val="right"/>
      <w:pPr>
        <w:widowControl/>
        <w:ind w:left="2160" w:hanging="180"/>
      </w:pPr>
    </w:lvl>
    <w:lvl w:ilvl="3">
      <w:start w:val="1"/>
      <w:numFmt w:val="decimal"/>
      <w:lvlText w:val="%4."/>
      <w:lvlJc w:val="left"/>
      <w:pPr>
        <w:widowControl/>
        <w:ind w:left="2880" w:hanging="360"/>
      </w:pPr>
    </w:lvl>
    <w:lvl w:ilvl="4">
      <w:start w:val="1"/>
      <w:numFmt w:val="lowerLetter"/>
      <w:lvlText w:val="%5."/>
      <w:lvlJc w:val="left"/>
      <w:pPr>
        <w:widowControl/>
        <w:ind w:left="3600" w:hanging="360"/>
      </w:pPr>
    </w:lvl>
    <w:lvl w:ilvl="5">
      <w:start w:val="1"/>
      <w:numFmt w:val="lowerRoman"/>
      <w:lvlText w:val="%6."/>
      <w:lvlJc w:val="right"/>
      <w:pPr>
        <w:widowControl/>
        <w:ind w:left="4320" w:hanging="180"/>
      </w:pPr>
    </w:lvl>
    <w:lvl w:ilvl="6">
      <w:start w:val="1"/>
      <w:numFmt w:val="decimal"/>
      <w:lvlText w:val="%7."/>
      <w:lvlJc w:val="left"/>
      <w:pPr>
        <w:widowControl/>
        <w:ind w:left="5040" w:hanging="360"/>
      </w:pPr>
    </w:lvl>
    <w:lvl w:ilvl="7">
      <w:start w:val="1"/>
      <w:numFmt w:val="lowerLetter"/>
      <w:lvlText w:val="%8."/>
      <w:lvlJc w:val="left"/>
      <w:pPr>
        <w:widowControl/>
        <w:ind w:left="5760" w:hanging="360"/>
      </w:pPr>
    </w:lvl>
    <w:lvl w:ilvl="8">
      <w:start w:val="1"/>
      <w:numFmt w:val="lowerRoman"/>
      <w:lvlText w:val="%9."/>
      <w:lvlJc w:val="right"/>
      <w:pPr>
        <w:widowControl/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B62FB"/>
    <w:rsid w:val="00065893"/>
    <w:rsid w:val="00124504"/>
    <w:rsid w:val="00A92DCD"/>
    <w:rsid w:val="00B62E7C"/>
    <w:rsid w:val="00C10A8D"/>
    <w:rsid w:val="00FB62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DF56A7"/>
  <w15:docId w15:val="{9FFC6624-973A-4504-BA8C-97EA7A165F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="Times New Roman" w:hAnsiTheme="minorHAnsi" w:cs="Times New Roman"/>
        <w:color w:val="000000"/>
        <w:sz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link w:val="1"/>
    <w:qFormat/>
  </w:style>
  <w:style w:type="paragraph" w:styleId="10">
    <w:name w:val="heading 1"/>
    <w:next w:val="a"/>
    <w:link w:val="11"/>
    <w:uiPriority w:val="9"/>
    <w:qFormat/>
    <w:pPr>
      <w:spacing w:before="120" w:after="120"/>
      <w:jc w:val="both"/>
      <w:outlineLvl w:val="0"/>
    </w:pPr>
    <w:rPr>
      <w:rFonts w:ascii="XO Thames" w:hAnsi="XO Thames"/>
      <w:b/>
      <w:sz w:val="32"/>
    </w:rPr>
  </w:style>
  <w:style w:type="paragraph" w:styleId="2">
    <w:name w:val="heading 2"/>
    <w:next w:val="a"/>
    <w:link w:val="20"/>
    <w:uiPriority w:val="9"/>
    <w:qFormat/>
    <w:pPr>
      <w:spacing w:before="120" w:after="120"/>
      <w:jc w:val="both"/>
      <w:outlineLvl w:val="1"/>
    </w:pPr>
    <w:rPr>
      <w:rFonts w:ascii="XO Thames" w:hAnsi="XO Thames"/>
      <w:b/>
      <w:sz w:val="28"/>
    </w:rPr>
  </w:style>
  <w:style w:type="paragraph" w:styleId="3">
    <w:name w:val="heading 3"/>
    <w:next w:val="a"/>
    <w:link w:val="30"/>
    <w:uiPriority w:val="9"/>
    <w:qFormat/>
    <w:pPr>
      <w:spacing w:before="120" w:after="120"/>
      <w:jc w:val="both"/>
      <w:outlineLvl w:val="2"/>
    </w:pPr>
    <w:rPr>
      <w:rFonts w:ascii="XO Thames" w:hAnsi="XO Thames"/>
      <w:b/>
      <w:sz w:val="26"/>
    </w:rPr>
  </w:style>
  <w:style w:type="paragraph" w:styleId="4">
    <w:name w:val="heading 4"/>
    <w:next w:val="a"/>
    <w:link w:val="40"/>
    <w:uiPriority w:val="9"/>
    <w:qFormat/>
    <w:pPr>
      <w:spacing w:before="120" w:after="120"/>
      <w:jc w:val="both"/>
      <w:outlineLvl w:val="3"/>
    </w:pPr>
    <w:rPr>
      <w:rFonts w:ascii="XO Thames" w:hAnsi="XO Thames"/>
      <w:b/>
      <w:sz w:val="24"/>
    </w:rPr>
  </w:style>
  <w:style w:type="paragraph" w:styleId="5">
    <w:name w:val="heading 5"/>
    <w:next w:val="a"/>
    <w:link w:val="50"/>
    <w:uiPriority w:val="9"/>
    <w:qFormat/>
    <w:pPr>
      <w:spacing w:before="120" w:after="120"/>
      <w:jc w:val="both"/>
      <w:outlineLvl w:val="4"/>
    </w:pPr>
    <w:rPr>
      <w:rFonts w:ascii="XO Thames" w:hAnsi="XO Thames"/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</w:style>
  <w:style w:type="paragraph" w:styleId="21">
    <w:name w:val="toc 2"/>
    <w:next w:val="a"/>
    <w:link w:val="22"/>
    <w:uiPriority w:val="39"/>
    <w:pPr>
      <w:ind w:left="200"/>
    </w:pPr>
    <w:rPr>
      <w:rFonts w:ascii="XO Thames" w:hAnsi="XO Thames"/>
      <w:sz w:val="28"/>
    </w:rPr>
  </w:style>
  <w:style w:type="character" w:customStyle="1" w:styleId="22">
    <w:name w:val="Оглавление 2 Знак"/>
    <w:link w:val="21"/>
    <w:rPr>
      <w:rFonts w:ascii="XO Thames" w:hAnsi="XO Thames"/>
      <w:sz w:val="28"/>
    </w:rPr>
  </w:style>
  <w:style w:type="paragraph" w:styleId="41">
    <w:name w:val="toc 4"/>
    <w:next w:val="a"/>
    <w:link w:val="42"/>
    <w:uiPriority w:val="39"/>
    <w:pPr>
      <w:ind w:left="600"/>
    </w:pPr>
    <w:rPr>
      <w:rFonts w:ascii="XO Thames" w:hAnsi="XO Thames"/>
      <w:sz w:val="28"/>
    </w:rPr>
  </w:style>
  <w:style w:type="character" w:customStyle="1" w:styleId="42">
    <w:name w:val="Оглавление 4 Знак"/>
    <w:link w:val="41"/>
    <w:rPr>
      <w:rFonts w:ascii="XO Thames" w:hAnsi="XO Thames"/>
      <w:sz w:val="28"/>
    </w:rPr>
  </w:style>
  <w:style w:type="paragraph" w:styleId="6">
    <w:name w:val="toc 6"/>
    <w:next w:val="a"/>
    <w:link w:val="60"/>
    <w:uiPriority w:val="39"/>
    <w:pPr>
      <w:ind w:left="1000"/>
    </w:pPr>
    <w:rPr>
      <w:rFonts w:ascii="XO Thames" w:hAnsi="XO Thames"/>
      <w:sz w:val="28"/>
    </w:rPr>
  </w:style>
  <w:style w:type="character" w:customStyle="1" w:styleId="60">
    <w:name w:val="Оглавление 6 Знак"/>
    <w:link w:val="6"/>
    <w:rPr>
      <w:rFonts w:ascii="XO Thames" w:hAnsi="XO Thames"/>
      <w:sz w:val="28"/>
    </w:rPr>
  </w:style>
  <w:style w:type="paragraph" w:styleId="7">
    <w:name w:val="toc 7"/>
    <w:next w:val="a"/>
    <w:link w:val="70"/>
    <w:uiPriority w:val="39"/>
    <w:pPr>
      <w:ind w:left="1200"/>
    </w:pPr>
    <w:rPr>
      <w:rFonts w:ascii="XO Thames" w:hAnsi="XO Thames"/>
      <w:sz w:val="28"/>
    </w:rPr>
  </w:style>
  <w:style w:type="character" w:customStyle="1" w:styleId="70">
    <w:name w:val="Оглавление 7 Знак"/>
    <w:link w:val="7"/>
    <w:rPr>
      <w:rFonts w:ascii="XO Thames" w:hAnsi="XO Thames"/>
      <w:sz w:val="28"/>
    </w:rPr>
  </w:style>
  <w:style w:type="paragraph" w:customStyle="1" w:styleId="Endnote">
    <w:name w:val="Endnote"/>
    <w:link w:val="Endnote0"/>
    <w:pPr>
      <w:ind w:firstLine="851"/>
      <w:jc w:val="both"/>
    </w:pPr>
    <w:rPr>
      <w:rFonts w:ascii="XO Thames" w:hAnsi="XO Thames"/>
    </w:rPr>
  </w:style>
  <w:style w:type="character" w:customStyle="1" w:styleId="Endnote0">
    <w:name w:val="Endnote"/>
    <w:link w:val="Endnote"/>
    <w:rPr>
      <w:rFonts w:ascii="XO Thames" w:hAnsi="XO Thames"/>
      <w:sz w:val="22"/>
    </w:rPr>
  </w:style>
  <w:style w:type="character" w:customStyle="1" w:styleId="30">
    <w:name w:val="Заголовок 3 Знак"/>
    <w:link w:val="3"/>
    <w:rPr>
      <w:rFonts w:ascii="XO Thames" w:hAnsi="XO Thames"/>
      <w:b/>
      <w:sz w:val="26"/>
    </w:rPr>
  </w:style>
  <w:style w:type="paragraph" w:styleId="31">
    <w:name w:val="toc 3"/>
    <w:next w:val="a"/>
    <w:link w:val="32"/>
    <w:uiPriority w:val="39"/>
    <w:pPr>
      <w:ind w:left="400"/>
    </w:pPr>
    <w:rPr>
      <w:rFonts w:ascii="XO Thames" w:hAnsi="XO Thames"/>
      <w:sz w:val="28"/>
    </w:rPr>
  </w:style>
  <w:style w:type="character" w:customStyle="1" w:styleId="32">
    <w:name w:val="Оглавление 3 Знак"/>
    <w:link w:val="31"/>
    <w:rPr>
      <w:rFonts w:ascii="XO Thames" w:hAnsi="XO Thames"/>
      <w:sz w:val="28"/>
    </w:rPr>
  </w:style>
  <w:style w:type="character" w:customStyle="1" w:styleId="50">
    <w:name w:val="Заголовок 5 Знак"/>
    <w:link w:val="5"/>
    <w:rPr>
      <w:rFonts w:ascii="XO Thames" w:hAnsi="XO Thames"/>
      <w:b/>
      <w:sz w:val="22"/>
    </w:rPr>
  </w:style>
  <w:style w:type="character" w:customStyle="1" w:styleId="11">
    <w:name w:val="Заголовок 1 Знак"/>
    <w:link w:val="10"/>
    <w:rPr>
      <w:rFonts w:ascii="XO Thames" w:hAnsi="XO Thames"/>
      <w:b/>
      <w:sz w:val="32"/>
    </w:rPr>
  </w:style>
  <w:style w:type="paragraph" w:customStyle="1" w:styleId="12">
    <w:name w:val="Гиперссылка1"/>
    <w:basedOn w:val="13"/>
    <w:link w:val="a3"/>
    <w:rPr>
      <w:color w:val="0000FF"/>
      <w:u w:val="single"/>
    </w:rPr>
  </w:style>
  <w:style w:type="character" w:styleId="a3">
    <w:name w:val="Hyperlink"/>
    <w:basedOn w:val="a0"/>
    <w:link w:val="12"/>
    <w:rPr>
      <w:color w:val="0000FF"/>
      <w:u w:val="single"/>
    </w:rPr>
  </w:style>
  <w:style w:type="paragraph" w:customStyle="1" w:styleId="Footnote">
    <w:name w:val="Footnote"/>
    <w:link w:val="Footnote0"/>
    <w:pPr>
      <w:ind w:firstLine="851"/>
      <w:jc w:val="both"/>
    </w:pPr>
    <w:rPr>
      <w:rFonts w:ascii="XO Thames" w:hAnsi="XO Thames"/>
    </w:rPr>
  </w:style>
  <w:style w:type="character" w:customStyle="1" w:styleId="Footnote0">
    <w:name w:val="Footnote"/>
    <w:link w:val="Footnote"/>
    <w:rPr>
      <w:rFonts w:ascii="XO Thames" w:hAnsi="XO Thames"/>
      <w:sz w:val="22"/>
    </w:rPr>
  </w:style>
  <w:style w:type="paragraph" w:styleId="14">
    <w:name w:val="toc 1"/>
    <w:next w:val="a"/>
    <w:link w:val="15"/>
    <w:uiPriority w:val="39"/>
    <w:rPr>
      <w:rFonts w:ascii="XO Thames" w:hAnsi="XO Thames"/>
      <w:b/>
      <w:sz w:val="28"/>
    </w:rPr>
  </w:style>
  <w:style w:type="character" w:customStyle="1" w:styleId="15">
    <w:name w:val="Оглавление 1 Знак"/>
    <w:link w:val="14"/>
    <w:rPr>
      <w:rFonts w:ascii="XO Thames" w:hAnsi="XO Thames"/>
      <w:b/>
      <w:sz w:val="28"/>
    </w:rPr>
  </w:style>
  <w:style w:type="paragraph" w:customStyle="1" w:styleId="HeaderandFooter">
    <w:name w:val="Header and Footer"/>
    <w:link w:val="HeaderandFooter0"/>
    <w:pPr>
      <w:spacing w:line="240" w:lineRule="auto"/>
      <w:jc w:val="both"/>
    </w:pPr>
    <w:rPr>
      <w:rFonts w:ascii="XO Thames" w:hAnsi="XO Thames"/>
      <w:sz w:val="28"/>
    </w:rPr>
  </w:style>
  <w:style w:type="character" w:customStyle="1" w:styleId="HeaderandFooter0">
    <w:name w:val="Header and Footer"/>
    <w:link w:val="HeaderandFooter"/>
    <w:rPr>
      <w:rFonts w:ascii="XO Thames" w:hAnsi="XO Thames"/>
      <w:sz w:val="28"/>
    </w:rPr>
  </w:style>
  <w:style w:type="paragraph" w:styleId="9">
    <w:name w:val="toc 9"/>
    <w:next w:val="a"/>
    <w:link w:val="90"/>
    <w:uiPriority w:val="39"/>
    <w:pPr>
      <w:ind w:left="1600"/>
    </w:pPr>
    <w:rPr>
      <w:rFonts w:ascii="XO Thames" w:hAnsi="XO Thames"/>
      <w:sz w:val="28"/>
    </w:rPr>
  </w:style>
  <w:style w:type="character" w:customStyle="1" w:styleId="90">
    <w:name w:val="Оглавление 9 Знак"/>
    <w:link w:val="9"/>
    <w:rPr>
      <w:rFonts w:ascii="XO Thames" w:hAnsi="XO Thames"/>
      <w:sz w:val="28"/>
    </w:rPr>
  </w:style>
  <w:style w:type="paragraph" w:styleId="8">
    <w:name w:val="toc 8"/>
    <w:next w:val="a"/>
    <w:link w:val="80"/>
    <w:uiPriority w:val="39"/>
    <w:pPr>
      <w:ind w:left="1400"/>
    </w:pPr>
    <w:rPr>
      <w:rFonts w:ascii="XO Thames" w:hAnsi="XO Thames"/>
      <w:sz w:val="28"/>
    </w:rPr>
  </w:style>
  <w:style w:type="character" w:customStyle="1" w:styleId="80">
    <w:name w:val="Оглавление 8 Знак"/>
    <w:link w:val="8"/>
    <w:rPr>
      <w:rFonts w:ascii="XO Thames" w:hAnsi="XO Thames"/>
      <w:sz w:val="28"/>
    </w:rPr>
  </w:style>
  <w:style w:type="paragraph" w:styleId="a4">
    <w:name w:val="List Paragraph"/>
    <w:basedOn w:val="a"/>
    <w:link w:val="a5"/>
    <w:pPr>
      <w:ind w:left="720"/>
      <w:contextualSpacing/>
    </w:pPr>
  </w:style>
  <w:style w:type="character" w:customStyle="1" w:styleId="a5">
    <w:name w:val="Абзац списка Знак"/>
    <w:basedOn w:val="1"/>
    <w:link w:val="a4"/>
  </w:style>
  <w:style w:type="paragraph" w:styleId="51">
    <w:name w:val="toc 5"/>
    <w:next w:val="a"/>
    <w:link w:val="52"/>
    <w:uiPriority w:val="39"/>
    <w:pPr>
      <w:ind w:left="800"/>
    </w:pPr>
    <w:rPr>
      <w:rFonts w:ascii="XO Thames" w:hAnsi="XO Thames"/>
      <w:sz w:val="28"/>
    </w:rPr>
  </w:style>
  <w:style w:type="character" w:customStyle="1" w:styleId="52">
    <w:name w:val="Оглавление 5 Знак"/>
    <w:link w:val="51"/>
    <w:rPr>
      <w:rFonts w:ascii="XO Thames" w:hAnsi="XO Thames"/>
      <w:sz w:val="28"/>
    </w:rPr>
  </w:style>
  <w:style w:type="paragraph" w:styleId="a6">
    <w:name w:val="Subtitle"/>
    <w:next w:val="a"/>
    <w:link w:val="a7"/>
    <w:uiPriority w:val="11"/>
    <w:qFormat/>
    <w:pPr>
      <w:jc w:val="both"/>
    </w:pPr>
    <w:rPr>
      <w:rFonts w:ascii="XO Thames" w:hAnsi="XO Thames"/>
      <w:i/>
      <w:sz w:val="24"/>
    </w:rPr>
  </w:style>
  <w:style w:type="character" w:customStyle="1" w:styleId="a7">
    <w:name w:val="Подзаголовок Знак"/>
    <w:link w:val="a6"/>
    <w:rPr>
      <w:rFonts w:ascii="XO Thames" w:hAnsi="XO Thames"/>
      <w:i/>
      <w:sz w:val="24"/>
    </w:rPr>
  </w:style>
  <w:style w:type="paragraph" w:styleId="a8">
    <w:name w:val="Title"/>
    <w:next w:val="a"/>
    <w:link w:val="a9"/>
    <w:uiPriority w:val="10"/>
    <w:qFormat/>
    <w:pPr>
      <w:spacing w:before="567" w:after="567"/>
      <w:jc w:val="center"/>
    </w:pPr>
    <w:rPr>
      <w:rFonts w:ascii="XO Thames" w:hAnsi="XO Thames"/>
      <w:b/>
      <w:caps/>
      <w:sz w:val="40"/>
    </w:rPr>
  </w:style>
  <w:style w:type="character" w:customStyle="1" w:styleId="a9">
    <w:name w:val="Заголовок Знак"/>
    <w:link w:val="a8"/>
    <w:rPr>
      <w:rFonts w:ascii="XO Thames" w:hAnsi="XO Thames"/>
      <w:b/>
      <w:caps/>
      <w:sz w:val="40"/>
    </w:rPr>
  </w:style>
  <w:style w:type="character" w:customStyle="1" w:styleId="40">
    <w:name w:val="Заголовок 4 Знак"/>
    <w:link w:val="4"/>
    <w:rPr>
      <w:rFonts w:ascii="XO Thames" w:hAnsi="XO Thames"/>
      <w:b/>
      <w:sz w:val="24"/>
    </w:rPr>
  </w:style>
  <w:style w:type="character" w:customStyle="1" w:styleId="20">
    <w:name w:val="Заголовок 2 Знак"/>
    <w:link w:val="2"/>
    <w:rPr>
      <w:rFonts w:ascii="XO Thames" w:hAnsi="XO Thames"/>
      <w:b/>
      <w:sz w:val="28"/>
    </w:rPr>
  </w:style>
  <w:style w:type="paragraph" w:customStyle="1" w:styleId="13">
    <w:name w:val="Основной шрифт абзаца1"/>
    <w:link w:val="aa"/>
  </w:style>
  <w:style w:type="character" w:styleId="aa">
    <w:name w:val="Unresolved Mention"/>
    <w:basedOn w:val="a0"/>
    <w:link w:val="13"/>
    <w:uiPriority w:val="99"/>
    <w:semiHidden/>
    <w:unhideWhenUsed/>
    <w:rsid w:val="00A92DCD"/>
    <w:rPr>
      <w:color w:val="605E5C"/>
      <w:shd w:val="clear" w:color="auto" w:fill="E1DFDD"/>
    </w:rPr>
  </w:style>
  <w:style w:type="character" w:styleId="ab">
    <w:name w:val="FollowedHyperlink"/>
    <w:basedOn w:val="a0"/>
    <w:uiPriority w:val="99"/>
    <w:semiHidden/>
    <w:unhideWhenUsed/>
    <w:rsid w:val="00C10A8D"/>
    <w:rPr>
      <w:color w:val="954F72" w:themeColor="followedHyperlink"/>
      <w:u w:val="single"/>
    </w:rPr>
  </w:style>
  <w:style w:type="paragraph" w:styleId="ac">
    <w:name w:val="header"/>
    <w:basedOn w:val="a"/>
    <w:link w:val="ad"/>
    <w:uiPriority w:val="99"/>
    <w:unhideWhenUsed/>
    <w:rsid w:val="00B62E7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Верхний колонтитул Знак"/>
    <w:basedOn w:val="a0"/>
    <w:link w:val="ac"/>
    <w:uiPriority w:val="99"/>
    <w:rsid w:val="00B62E7C"/>
  </w:style>
  <w:style w:type="paragraph" w:styleId="ae">
    <w:name w:val="footer"/>
    <w:basedOn w:val="a"/>
    <w:link w:val="af"/>
    <w:uiPriority w:val="99"/>
    <w:unhideWhenUsed/>
    <w:rsid w:val="00B62E7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Нижний колонтитул Знак"/>
    <w:basedOn w:val="a0"/>
    <w:link w:val="ae"/>
    <w:uiPriority w:val="99"/>
    <w:rsid w:val="00B62E7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www.kp.ru/daily/27776/5239764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</a:gradFill>
      </a:fillStyleLst>
      <a:lnStyleLst>
        <a:ln w="6350">
          <a:solidFill>
            <a:schemeClr val="phClr"/>
          </a:solidFill>
          <a:prstDash val="solid"/>
        </a:ln>
        <a:ln w="12700">
          <a:solidFill>
            <a:schemeClr val="phClr"/>
          </a:solidFill>
          <a:prstDash val="solid"/>
        </a:ln>
        <a:ln w="1905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694</Words>
  <Characters>3958</Characters>
  <Application>Microsoft Office Word</Application>
  <DocSecurity>4</DocSecurity>
  <Lines>32</Lines>
  <Paragraphs>9</Paragraphs>
  <ScaleCrop>false</ScaleCrop>
  <Company>NIFI</Company>
  <LinksUpToDate>false</LinksUpToDate>
  <CharactersWithSpaces>4643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Ивлева Дарья Михайловна</dc:creator>
  <cp:lastModifiedBy>Ивлева Дарья Михайловна</cp:lastModifiedBy>
  <cp:revision>2</cp:revision>
  <dcterms:created xsi:type="dcterms:W3CDTF">2026-06-30T03:10:00Z</dcterms:created>
  <dcterms:modified xsi:type="dcterms:W3CDTF">2026-06-30T03:10:00Z</dcterms:modified>
</cp:coreProperties>
</file>