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8445A" w14:textId="0404BB59" w:rsidR="00815079" w:rsidRDefault="00373ED0" w:rsidP="00412A5B">
      <w:pPr>
        <w:spacing w:before="240" w:after="240"/>
        <w:ind w:left="360"/>
        <w:jc w:val="center"/>
        <w:rPr>
          <w:rFonts w:ascii="Times New Roman" w:hAnsi="Times New Roman"/>
          <w:b/>
          <w:bCs/>
          <w:sz w:val="28"/>
        </w:rPr>
      </w:pPr>
      <w:bookmarkStart w:id="0" w:name="_GoBack"/>
      <w:r w:rsidRPr="00373ED0">
        <w:rPr>
          <w:rFonts w:ascii="Times New Roman" w:hAnsi="Times New Roman"/>
          <w:b/>
          <w:bCs/>
          <w:sz w:val="28"/>
        </w:rPr>
        <w:t>Инвестиционный налоговый вычет в 2026 году</w:t>
      </w:r>
    </w:p>
    <w:bookmarkEnd w:id="0"/>
    <w:p w14:paraId="02000000" w14:textId="07482101" w:rsidR="00F23F7C" w:rsidRPr="00373ED0" w:rsidRDefault="00373ED0" w:rsidP="00412A5B">
      <w:pPr>
        <w:spacing w:before="240" w:after="240"/>
        <w:ind w:firstLine="709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373ED0">
        <w:rPr>
          <w:rFonts w:ascii="Times New Roman" w:hAnsi="Times New Roman"/>
          <w:b/>
          <w:bCs/>
          <w:i/>
          <w:iCs/>
          <w:sz w:val="28"/>
        </w:rPr>
        <w:t xml:space="preserve">У россиян, которые инвестируют деньги, есть возможность получить налоговый вычет. Каковы общие критерии для </w:t>
      </w:r>
      <w:proofErr w:type="spellStart"/>
      <w:r w:rsidRPr="00373ED0">
        <w:rPr>
          <w:rFonts w:ascii="Times New Roman" w:hAnsi="Times New Roman"/>
          <w:b/>
          <w:bCs/>
          <w:i/>
          <w:iCs/>
          <w:sz w:val="28"/>
        </w:rPr>
        <w:t>претендущих</w:t>
      </w:r>
      <w:proofErr w:type="spellEnd"/>
      <w:r w:rsidRPr="00373ED0">
        <w:rPr>
          <w:rFonts w:ascii="Times New Roman" w:hAnsi="Times New Roman"/>
          <w:b/>
          <w:bCs/>
          <w:i/>
          <w:iCs/>
          <w:sz w:val="28"/>
        </w:rPr>
        <w:t xml:space="preserve"> на налоговые вычеты по инвестиционным инструментам в 2026 году в </w:t>
      </w:r>
      <w:hyperlink r:id="rId6" w:history="1">
        <w:r w:rsidRPr="00373ED0">
          <w:rPr>
            <w:rStyle w:val="a5"/>
            <w:rFonts w:ascii="Times New Roman" w:hAnsi="Times New Roman"/>
            <w:b/>
            <w:bCs/>
            <w:i/>
            <w:iCs/>
            <w:sz w:val="28"/>
          </w:rPr>
          <w:t>интервью «Российской Газете</w:t>
        </w:r>
      </w:hyperlink>
      <w:r>
        <w:rPr>
          <w:rFonts w:ascii="Times New Roman" w:hAnsi="Times New Roman"/>
          <w:b/>
          <w:bCs/>
          <w:i/>
          <w:iCs/>
          <w:sz w:val="28"/>
        </w:rPr>
        <w:t>»</w:t>
      </w:r>
      <w:r w:rsidRPr="00373ED0">
        <w:rPr>
          <w:rFonts w:ascii="Times New Roman" w:hAnsi="Times New Roman"/>
          <w:b/>
          <w:bCs/>
          <w:i/>
          <w:iCs/>
          <w:sz w:val="28"/>
        </w:rPr>
        <w:t xml:space="preserve"> рассказала эксперт проекта НИФИ Минфина России «</w:t>
      </w:r>
      <w:proofErr w:type="spellStart"/>
      <w:r w:rsidRPr="00373ED0">
        <w:rPr>
          <w:rFonts w:ascii="Times New Roman" w:hAnsi="Times New Roman"/>
          <w:b/>
          <w:bCs/>
          <w:i/>
          <w:iCs/>
          <w:sz w:val="28"/>
        </w:rPr>
        <w:t>Моифинансы.рф</w:t>
      </w:r>
      <w:proofErr w:type="spellEnd"/>
      <w:r w:rsidRPr="00373ED0">
        <w:rPr>
          <w:rFonts w:ascii="Times New Roman" w:hAnsi="Times New Roman"/>
          <w:b/>
          <w:bCs/>
          <w:i/>
          <w:iCs/>
          <w:sz w:val="28"/>
        </w:rPr>
        <w:t xml:space="preserve">» Мария </w:t>
      </w:r>
      <w:proofErr w:type="spellStart"/>
      <w:r w:rsidRPr="00373ED0">
        <w:rPr>
          <w:rFonts w:ascii="Times New Roman" w:hAnsi="Times New Roman"/>
          <w:b/>
          <w:bCs/>
          <w:i/>
          <w:iCs/>
          <w:sz w:val="28"/>
        </w:rPr>
        <w:t>Иваткина</w:t>
      </w:r>
      <w:proofErr w:type="spellEnd"/>
      <w:r w:rsidRPr="00373ED0">
        <w:rPr>
          <w:rFonts w:ascii="Times New Roman" w:hAnsi="Times New Roman"/>
          <w:b/>
          <w:bCs/>
          <w:i/>
          <w:iCs/>
          <w:sz w:val="28"/>
        </w:rPr>
        <w:t>.</w:t>
      </w:r>
    </w:p>
    <w:p w14:paraId="04000000" w14:textId="6F96960F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претендовать на инвестиционный налоговый вычет, нужно быть владельцем индивидуального инвестиционного счета (ИИС), внести на него деньги и затем подать заявление на вычет. Возврат получаем за предыдущий год. То есть, в 2026 года – со средств, внесенных на счет в 2025 году, а в 2027 году будем получать за 2026 год. При этом обязательно нужно быть плательщиком налога на доходы физлиц (НДФЛ). Если НДФЛ не платили, значит и оформлять возврат не с чего. Например, это касается самозанятых, которые являются плательщиками другого налога – НПД.</w:t>
      </w:r>
    </w:p>
    <w:p w14:paraId="06000000" w14:textId="77777777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Лимита на пополнения ИИС нет, однако сумма, с которой можно оформить налоговый возврат, составляет 400 000 рублей. При этом, если раньше (при плоской шкале НДФЛ) можно было вернуть только 13% от внесенной суммы, то с внедрением прогрессивной шкалы изменились и условия для налогового вычета. Теперь это 52 000 рублей возврата при ставке 13%, 60 000 рублей при ставке 15%, 72 000 рублей, если ставка составляет 18%, 80 000 рублей при ставке 20% и 88 000 рублей при максимальной ставке НДФЛ в 22%.</w:t>
      </w:r>
    </w:p>
    <w:p w14:paraId="07000000" w14:textId="1D9B2752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инвестор в 2025 году платил НДФЛ по ставке 20%, а на свой </w:t>
      </w:r>
      <w:proofErr w:type="spellStart"/>
      <w:r>
        <w:rPr>
          <w:rFonts w:ascii="Times New Roman" w:hAnsi="Times New Roman"/>
          <w:sz w:val="28"/>
        </w:rPr>
        <w:t>инвестсчет</w:t>
      </w:r>
      <w:proofErr w:type="spellEnd"/>
      <w:r>
        <w:rPr>
          <w:rFonts w:ascii="Times New Roman" w:hAnsi="Times New Roman"/>
          <w:sz w:val="28"/>
        </w:rPr>
        <w:t xml:space="preserve"> внес 400 00</w:t>
      </w:r>
      <w:r w:rsidR="00C24169">
        <w:rPr>
          <w:rFonts w:ascii="Times New Roman" w:hAnsi="Times New Roman"/>
          <w:color w:val="auto"/>
          <w:sz w:val="28"/>
        </w:rPr>
        <w:t>0</w:t>
      </w:r>
      <w:r>
        <w:rPr>
          <w:rFonts w:ascii="Times New Roman" w:hAnsi="Times New Roman"/>
          <w:sz w:val="28"/>
        </w:rPr>
        <w:t xml:space="preserve"> рублей. Потенциальная сумма к возврату в 2026 году:</w:t>
      </w:r>
    </w:p>
    <w:p w14:paraId="08000000" w14:textId="77777777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400 000 рублей × 20% = 80 000 рублей</w:t>
      </w:r>
    </w:p>
    <w:p w14:paraId="0A000000" w14:textId="62D63186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Вычет можно оформить через личный кабинет на сайте Федеральной налоговой службы (ФНС). Ещё проще это сделать через брокера, который для инвестора является налоговым агентом. Многие компании в приложении напоминают своим клиентам о такой возможности. Достаточно лишь дать своё согласие. В случае упрощённого налогового вычета деньги поступят на указанные реквизиты в течение месяца, но на практике бывает гораздо быстрее. Хотя, раньше, на это уходило три месяца.</w:t>
      </w:r>
    </w:p>
    <w:p w14:paraId="0D000000" w14:textId="4E36C09D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Владельцы обычного брокерского счета налоговый вычет оформить не могут. </w:t>
      </w:r>
    </w:p>
    <w:p w14:paraId="0F000000" w14:textId="04DE7363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ноябре 2025 был принят закон о налоговых стимулах для долгосрочных сбережений. Налоговый возврат по договорам страхования жизни можно будет оформить не со 150 000 рублей, как было раньше, а с 400 000 рублей.  То есть, лимит становится единым для ИИС, ПДС и договоров страхования жизни. Максимальная сумма ежегодного вычета – 88 000 рублей за взносы в 2026 и 2025 году. При этом, если вкладывать налоговый вычет в </w:t>
      </w:r>
      <w:r w:rsidRPr="00C24169">
        <w:rPr>
          <w:rFonts w:ascii="Times New Roman" w:hAnsi="Times New Roman"/>
          <w:color w:val="auto"/>
          <w:sz w:val="28"/>
        </w:rPr>
        <w:t xml:space="preserve">Программу долгосрочных сбережений, можно увеличить размер накоплений на счете ПДС, получив на вложенные средства </w:t>
      </w:r>
      <w:proofErr w:type="spellStart"/>
      <w:r w:rsidRPr="00C24169">
        <w:rPr>
          <w:rFonts w:ascii="Times New Roman" w:hAnsi="Times New Roman"/>
          <w:color w:val="auto"/>
          <w:sz w:val="28"/>
        </w:rPr>
        <w:t>софинансирование</w:t>
      </w:r>
      <w:proofErr w:type="spellEnd"/>
      <w:r w:rsidRPr="00C24169">
        <w:rPr>
          <w:rFonts w:ascii="Times New Roman" w:hAnsi="Times New Roman"/>
          <w:color w:val="auto"/>
          <w:sz w:val="28"/>
        </w:rPr>
        <w:t xml:space="preserve"> от государства (до 36 000 в год), а также потенциальный инвестиционный доход на вложенные </w:t>
      </w:r>
      <w:r>
        <w:rPr>
          <w:rFonts w:ascii="Times New Roman" w:hAnsi="Times New Roman"/>
          <w:sz w:val="28"/>
        </w:rPr>
        <w:t>средства.</w:t>
      </w:r>
    </w:p>
    <w:p w14:paraId="55C1F8CC" w14:textId="26F9BE21" w:rsidR="00C24169" w:rsidRPr="00C24169" w:rsidRDefault="00C24169" w:rsidP="00412A5B">
      <w:pPr>
        <w:spacing w:before="240" w:after="240"/>
        <w:ind w:firstLine="709"/>
        <w:jc w:val="both"/>
        <w:rPr>
          <w:rFonts w:ascii="Times New Roman" w:hAnsi="Times New Roman"/>
          <w:i/>
          <w:iCs/>
          <w:sz w:val="28"/>
        </w:rPr>
      </w:pPr>
      <w:r w:rsidRPr="00C24169">
        <w:rPr>
          <w:rFonts w:ascii="Times New Roman" w:hAnsi="Times New Roman"/>
          <w:i/>
          <w:iCs/>
          <w:sz w:val="28"/>
        </w:rPr>
        <w:t>Примечание</w:t>
      </w:r>
      <w:proofErr w:type="gramStart"/>
      <w:r w:rsidRPr="00C24169">
        <w:rPr>
          <w:rFonts w:ascii="Times New Roman" w:hAnsi="Times New Roman"/>
          <w:i/>
          <w:iCs/>
          <w:sz w:val="28"/>
        </w:rPr>
        <w:t>:</w:t>
      </w:r>
      <w:r w:rsidR="00412A5B">
        <w:rPr>
          <w:rFonts w:ascii="Times New Roman" w:hAnsi="Times New Roman"/>
          <w:i/>
          <w:iCs/>
          <w:sz w:val="28"/>
        </w:rPr>
        <w:t xml:space="preserve"> </w:t>
      </w:r>
      <w:r w:rsidRPr="00C24169">
        <w:rPr>
          <w:rFonts w:ascii="Times New Roman" w:hAnsi="Times New Roman"/>
          <w:i/>
          <w:iCs/>
          <w:sz w:val="28"/>
        </w:rPr>
        <w:t>Возможно</w:t>
      </w:r>
      <w:proofErr w:type="gramEnd"/>
      <w:r w:rsidRPr="00C24169">
        <w:rPr>
          <w:rFonts w:ascii="Times New Roman" w:hAnsi="Times New Roman"/>
          <w:i/>
          <w:iCs/>
          <w:sz w:val="28"/>
        </w:rPr>
        <w:t>, надо упомянуть про случаи, когда вычет недоступен (в частности тем, кто претендует на выплаты менее чем через 5 лет с даты заключения договора, с 2027 - 6 лет и далее +1 год к 2031 -10 лет)</w:t>
      </w:r>
      <w:r>
        <w:rPr>
          <w:rFonts w:ascii="Times New Roman" w:hAnsi="Times New Roman"/>
          <w:i/>
          <w:iCs/>
          <w:sz w:val="28"/>
        </w:rPr>
        <w:t>.</w:t>
      </w:r>
    </w:p>
    <w:p w14:paraId="12000000" w14:textId="77777777" w:rsidR="00F23F7C" w:rsidRDefault="00373ED0" w:rsidP="00412A5B">
      <w:pPr>
        <w:spacing w:before="240" w:after="24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Раньше (в 2023–2024 годах) можно было вернуть часть НДФЛ, уплаченного с процентов по вкладам, с помощью налогового вычета. Но затем правила поменялись. С 1 января 2025 года проценты по вкладам считаются отдельно от всех остальных доходов – это прописали в Налоговом кодексе, а Минфин разъяснил: налоговые вычеты можно применять только к основной базе доходов. Получится ли вернуть эту возможность в будущем, пока непонятно.</w:t>
      </w:r>
    </w:p>
    <w:p w14:paraId="13000000" w14:textId="77777777" w:rsidR="00F23F7C" w:rsidRDefault="00F23F7C" w:rsidP="00412A5B">
      <w:pPr>
        <w:ind w:firstLine="709"/>
        <w:jc w:val="both"/>
      </w:pPr>
    </w:p>
    <w:sectPr w:rsidR="00F23F7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A0288" w14:textId="77777777" w:rsidR="00412A5B" w:rsidRDefault="00412A5B" w:rsidP="00412A5B">
      <w:pPr>
        <w:spacing w:line="240" w:lineRule="auto"/>
      </w:pPr>
      <w:r>
        <w:separator/>
      </w:r>
    </w:p>
  </w:endnote>
  <w:endnote w:type="continuationSeparator" w:id="0">
    <w:p w14:paraId="45B04C65" w14:textId="77777777" w:rsidR="00412A5B" w:rsidRDefault="00412A5B" w:rsidP="00412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2E879" w14:textId="77777777" w:rsidR="00412A5B" w:rsidRDefault="00412A5B" w:rsidP="00412A5B">
      <w:pPr>
        <w:spacing w:line="240" w:lineRule="auto"/>
      </w:pPr>
      <w:r>
        <w:separator/>
      </w:r>
    </w:p>
  </w:footnote>
  <w:footnote w:type="continuationSeparator" w:id="0">
    <w:p w14:paraId="4C4D34DD" w14:textId="77777777" w:rsidR="00412A5B" w:rsidRDefault="00412A5B" w:rsidP="00412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AAA17" w14:textId="332C8350" w:rsidR="00412A5B" w:rsidRDefault="00412A5B">
    <w:pPr>
      <w:pStyle w:val="af1"/>
    </w:pPr>
    <w:r w:rsidRPr="00412A5B">
      <w:rPr>
        <w:rFonts w:ascii="Calibri" w:eastAsia="Calibri" w:hAnsi="Calibri"/>
        <w:noProof/>
        <w:color w:val="auto"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4DB67552" wp14:editId="59346383">
          <wp:simplePos x="0" y="0"/>
          <wp:positionH relativeFrom="column">
            <wp:posOffset>4933950</wp:posOffset>
          </wp:positionH>
          <wp:positionV relativeFrom="paragraph">
            <wp:posOffset>114300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7C"/>
    <w:rsid w:val="00062F5C"/>
    <w:rsid w:val="00373ED0"/>
    <w:rsid w:val="00412A5B"/>
    <w:rsid w:val="004F121E"/>
    <w:rsid w:val="00815079"/>
    <w:rsid w:val="00C24169"/>
    <w:rsid w:val="00C867C8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BA32"/>
  <w15:docId w15:val="{C0A46D42-D316-437C-925D-1B0D4AA2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a3">
    <w:name w:val="Balloon Text"/>
    <w:basedOn w:val="a"/>
    <w:link w:val="a4"/>
    <w:pPr>
      <w:spacing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9">
    <w:name w:val="Подзаголовок Знак"/>
    <w:basedOn w:val="1"/>
    <w:link w:val="a8"/>
    <w:rPr>
      <w:color w:val="666666"/>
      <w:sz w:val="30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after="60"/>
    </w:pPr>
    <w:rPr>
      <w:sz w:val="52"/>
    </w:rPr>
  </w:style>
  <w:style w:type="character" w:customStyle="1" w:styleId="ab">
    <w:name w:val="Заголовок Знак"/>
    <w:basedOn w:val="1"/>
    <w:link w:val="aa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paragraph" w:styleId="ac">
    <w:name w:val="annotation subject"/>
    <w:basedOn w:val="a6"/>
    <w:next w:val="a6"/>
    <w:link w:val="ad"/>
    <w:rPr>
      <w:b/>
    </w:rPr>
  </w:style>
  <w:style w:type="character" w:customStyle="1" w:styleId="ad">
    <w:name w:val="Тема примечания Знак"/>
    <w:basedOn w:val="a7"/>
    <w:link w:val="ac"/>
    <w:rPr>
      <w:b/>
      <w:sz w:val="20"/>
    </w:rPr>
  </w:style>
  <w:style w:type="paragraph" w:customStyle="1" w:styleId="16">
    <w:name w:val="Знак примечания1"/>
    <w:basedOn w:val="12"/>
    <w:link w:val="ae"/>
    <w:rPr>
      <w:sz w:val="16"/>
    </w:rPr>
  </w:style>
  <w:style w:type="character" w:styleId="ae">
    <w:name w:val="annotation reference"/>
    <w:basedOn w:val="a0"/>
    <w:link w:val="16"/>
    <w:rPr>
      <w:sz w:val="16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">
    <w:name w:val="Unresolved Mention"/>
    <w:basedOn w:val="a0"/>
    <w:uiPriority w:val="99"/>
    <w:semiHidden/>
    <w:unhideWhenUsed/>
    <w:rsid w:val="0081507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73ED0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12A5B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2A5B"/>
  </w:style>
  <w:style w:type="paragraph" w:styleId="af3">
    <w:name w:val="footer"/>
    <w:basedOn w:val="a"/>
    <w:link w:val="af4"/>
    <w:uiPriority w:val="99"/>
    <w:unhideWhenUsed/>
    <w:rsid w:val="00412A5B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6/02/25/pravila-vychitanii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4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Ивлева Дарья Михайловна</cp:lastModifiedBy>
  <cp:revision>2</cp:revision>
  <dcterms:created xsi:type="dcterms:W3CDTF">2026-06-30T02:34:00Z</dcterms:created>
  <dcterms:modified xsi:type="dcterms:W3CDTF">2026-06-30T02:34:00Z</dcterms:modified>
</cp:coreProperties>
</file>