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515" w:rsidRPr="009F3DC8" w:rsidRDefault="00CE5D91" w:rsidP="009F3DC8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/>
          <w:bCs/>
          <w:sz w:val="28"/>
          <w:szCs w:val="28"/>
          <w:shd w:val="clear" w:color="auto" w:fill="FFFFFF"/>
        </w:rPr>
      </w:pPr>
      <w:bookmarkStart w:id="0" w:name="_GoBack"/>
      <w:r w:rsidRPr="009F3DC8">
        <w:rPr>
          <w:b/>
          <w:bCs/>
          <w:sz w:val="28"/>
          <w:szCs w:val="28"/>
          <w:shd w:val="clear" w:color="auto" w:fill="FFFFFF"/>
        </w:rPr>
        <w:t>СБП. оплата по номеру телефона или QR-коду</w:t>
      </w:r>
    </w:p>
    <w:bookmarkEnd w:id="0"/>
    <w:p w:rsidR="00CE5D91" w:rsidRPr="009F3DC8" w:rsidRDefault="00CE5D91" w:rsidP="00CE5D91">
      <w:pPr>
        <w:pStyle w:val="a3"/>
        <w:spacing w:before="0" w:beforeAutospacing="0" w:after="0" w:afterAutospacing="0" w:line="360" w:lineRule="auto"/>
        <w:ind w:firstLine="567"/>
        <w:jc w:val="both"/>
        <w:textAlignment w:val="top"/>
        <w:rPr>
          <w:sz w:val="28"/>
          <w:szCs w:val="28"/>
          <w:shd w:val="clear" w:color="auto" w:fill="FFFFFF"/>
        </w:rPr>
      </w:pPr>
      <w:r w:rsidRPr="009F3DC8">
        <w:rPr>
          <w:sz w:val="28"/>
          <w:szCs w:val="28"/>
          <w:shd w:val="clear" w:color="auto" w:fill="FFFFFF"/>
        </w:rPr>
        <w:t>Ольга Дайнеко, эксперт проекта НИФИ Минфина России «</w:t>
      </w:r>
      <w:proofErr w:type="spellStart"/>
      <w:r w:rsidRPr="009F3DC8">
        <w:rPr>
          <w:sz w:val="28"/>
          <w:szCs w:val="28"/>
          <w:shd w:val="clear" w:color="auto" w:fill="FFFFFF"/>
        </w:rPr>
        <w:t>Моифинансы.рф</w:t>
      </w:r>
      <w:proofErr w:type="spellEnd"/>
      <w:r w:rsidRPr="009F3DC8">
        <w:rPr>
          <w:sz w:val="28"/>
          <w:szCs w:val="28"/>
          <w:shd w:val="clear" w:color="auto" w:fill="FFFFFF"/>
        </w:rPr>
        <w:t xml:space="preserve">» в </w:t>
      </w:r>
      <w:hyperlink r:id="rId7" w:anchor="card-66372" w:history="1">
        <w:r w:rsidRPr="009F3DC8">
          <w:rPr>
            <w:rStyle w:val="a4"/>
            <w:sz w:val="28"/>
            <w:szCs w:val="28"/>
            <w:shd w:val="clear" w:color="auto" w:fill="FFFFFF"/>
          </w:rPr>
          <w:t>интервью «</w:t>
        </w:r>
        <w:r w:rsidRPr="009F3DC8">
          <w:rPr>
            <w:rStyle w:val="a4"/>
            <w:sz w:val="28"/>
            <w:szCs w:val="28"/>
            <w:shd w:val="clear" w:color="auto" w:fill="FFFFFF"/>
            <w:lang w:val="en-US"/>
          </w:rPr>
          <w:t>Mail</w:t>
        </w:r>
        <w:r w:rsidRPr="009F3DC8">
          <w:rPr>
            <w:rStyle w:val="a4"/>
            <w:sz w:val="28"/>
            <w:szCs w:val="28"/>
            <w:shd w:val="clear" w:color="auto" w:fill="FFFFFF"/>
          </w:rPr>
          <w:t>.Финансы»</w:t>
        </w:r>
      </w:hyperlink>
      <w:r w:rsidRPr="009F3DC8">
        <w:rPr>
          <w:sz w:val="28"/>
          <w:szCs w:val="28"/>
          <w:shd w:val="clear" w:color="auto" w:fill="FFFFFF"/>
        </w:rPr>
        <w:t xml:space="preserve"> рассказала о работе системы быстрых платежей и ключевых вопросах для пользователей.</w:t>
      </w:r>
    </w:p>
    <w:p w:rsidR="003C56E5" w:rsidRPr="009F3DC8" w:rsidRDefault="003C56E5" w:rsidP="00D55F8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  <w:r w:rsidRPr="009F3DC8">
        <w:rPr>
          <w:sz w:val="28"/>
          <w:szCs w:val="28"/>
          <w:shd w:val="clear" w:color="auto" w:fill="FFFFFF"/>
        </w:rPr>
        <w:t>Если сравнивать обычные переводы средств внутри одного банка</w:t>
      </w:r>
      <w:r w:rsidR="00D55F86" w:rsidRPr="009F3DC8">
        <w:rPr>
          <w:sz w:val="28"/>
          <w:szCs w:val="28"/>
          <w:shd w:val="clear" w:color="auto" w:fill="FFFFFF"/>
        </w:rPr>
        <w:t xml:space="preserve"> с переводами</w:t>
      </w:r>
      <w:r w:rsidRPr="009F3DC8">
        <w:rPr>
          <w:sz w:val="28"/>
          <w:szCs w:val="28"/>
          <w:shd w:val="clear" w:color="auto" w:fill="FFFFFF"/>
        </w:rPr>
        <w:t xml:space="preserve"> по СБП, транзакции в обоих случаях производятся практически мгновенно. Однако</w:t>
      </w:r>
      <w:r w:rsidR="00350BF0" w:rsidRPr="009F3DC8">
        <w:rPr>
          <w:sz w:val="28"/>
          <w:szCs w:val="28"/>
          <w:shd w:val="clear" w:color="auto" w:fill="FFFFFF"/>
        </w:rPr>
        <w:t>,</w:t>
      </w:r>
      <w:r w:rsidRPr="009F3DC8">
        <w:rPr>
          <w:sz w:val="28"/>
          <w:szCs w:val="28"/>
          <w:shd w:val="clear" w:color="auto" w:fill="FFFFFF"/>
        </w:rPr>
        <w:t xml:space="preserve"> при переводе средств в сторонний банк</w:t>
      </w:r>
      <w:r w:rsidR="00350BF0" w:rsidRPr="009F3DC8">
        <w:rPr>
          <w:sz w:val="28"/>
          <w:szCs w:val="28"/>
          <w:shd w:val="clear" w:color="auto" w:fill="FFFFFF"/>
        </w:rPr>
        <w:t>,</w:t>
      </w:r>
      <w:r w:rsidRPr="009F3DC8">
        <w:rPr>
          <w:sz w:val="28"/>
          <w:szCs w:val="28"/>
          <w:shd w:val="clear" w:color="auto" w:fill="FFFFFF"/>
        </w:rPr>
        <w:t xml:space="preserve"> деньги </w:t>
      </w:r>
      <w:r w:rsidR="00D55F86" w:rsidRPr="009F3DC8">
        <w:rPr>
          <w:sz w:val="28"/>
          <w:szCs w:val="28"/>
          <w:shd w:val="clear" w:color="auto" w:fill="FFFFFF"/>
        </w:rPr>
        <w:t xml:space="preserve">при традиционном межбанковском перечислении </w:t>
      </w:r>
      <w:r w:rsidRPr="009F3DC8">
        <w:rPr>
          <w:sz w:val="28"/>
          <w:szCs w:val="28"/>
          <w:shd w:val="clear" w:color="auto" w:fill="FFFFFF"/>
        </w:rPr>
        <w:t>могут зачисляться до 3-5 дней</w:t>
      </w:r>
      <w:r w:rsidR="00AD0862" w:rsidRPr="009F3DC8">
        <w:rPr>
          <w:sz w:val="28"/>
          <w:szCs w:val="28"/>
          <w:shd w:val="clear" w:color="auto" w:fill="FFFFFF"/>
        </w:rPr>
        <w:t xml:space="preserve"> и </w:t>
      </w:r>
      <w:r w:rsidR="00350BF0" w:rsidRPr="009F3DC8">
        <w:rPr>
          <w:sz w:val="28"/>
          <w:szCs w:val="28"/>
          <w:shd w:val="clear" w:color="auto" w:fill="FFFFFF"/>
        </w:rPr>
        <w:t xml:space="preserve">поэтому </w:t>
      </w:r>
      <w:r w:rsidR="00AD0862" w:rsidRPr="009F3DC8">
        <w:rPr>
          <w:sz w:val="28"/>
          <w:szCs w:val="28"/>
          <w:shd w:val="clear" w:color="auto" w:fill="FFFFFF"/>
        </w:rPr>
        <w:t xml:space="preserve">перевод через СБП- оптимальный вариант для мгновенного зачисления средств. Высокая скорость транзакции через СБП объясняется тем, что деньги перемещаются напрямую между счетами без </w:t>
      </w:r>
      <w:r w:rsidR="00350BF0" w:rsidRPr="009F3DC8">
        <w:rPr>
          <w:sz w:val="28"/>
          <w:szCs w:val="28"/>
          <w:shd w:val="clear" w:color="auto" w:fill="FFFFFF"/>
        </w:rPr>
        <w:t>посредничества платежной</w:t>
      </w:r>
      <w:r w:rsidR="00AD0862" w:rsidRPr="009F3DC8">
        <w:rPr>
          <w:sz w:val="28"/>
          <w:szCs w:val="28"/>
          <w:shd w:val="clear" w:color="auto" w:fill="FFFFFF"/>
        </w:rPr>
        <w:t xml:space="preserve"> системы, а в качестве идентификатора платежа используется только номер телефона, а не номер счета/карты и другие банковские реквизиты</w:t>
      </w:r>
      <w:r w:rsidR="00350BF0" w:rsidRPr="009F3DC8">
        <w:rPr>
          <w:sz w:val="28"/>
          <w:szCs w:val="28"/>
          <w:shd w:val="clear" w:color="auto" w:fill="FFFFFF"/>
        </w:rPr>
        <w:t>. Сервис сам найдет счета в банках, открытые у получателя и, если их несколько, предоставит выбор для</w:t>
      </w:r>
      <w:r w:rsidR="009F3DC8">
        <w:rPr>
          <w:sz w:val="28"/>
          <w:szCs w:val="28"/>
          <w:shd w:val="clear" w:color="auto" w:fill="FFFFFF"/>
        </w:rPr>
        <w:t xml:space="preserve"> </w:t>
      </w:r>
      <w:r w:rsidR="00350BF0" w:rsidRPr="009F3DC8">
        <w:rPr>
          <w:sz w:val="28"/>
          <w:szCs w:val="28"/>
          <w:shd w:val="clear" w:color="auto" w:fill="FFFFFF"/>
        </w:rPr>
        <w:t xml:space="preserve">зачисления. При этом через СБП можно не только переводить, но и запрашивать деньги.  Например, для перевода себе с другого своего счета в стороннем банке без </w:t>
      </w:r>
      <w:r w:rsidR="00D55F86" w:rsidRPr="009F3DC8">
        <w:rPr>
          <w:sz w:val="28"/>
          <w:szCs w:val="28"/>
          <w:shd w:val="clear" w:color="auto" w:fill="FFFFFF"/>
        </w:rPr>
        <w:t>комиссии.</w:t>
      </w:r>
    </w:p>
    <w:p w:rsidR="00350BF0" w:rsidRPr="009F3DC8" w:rsidRDefault="00350BF0" w:rsidP="00D55F86">
      <w:pPr>
        <w:pStyle w:val="docdat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3DC8">
        <w:rPr>
          <w:sz w:val="28"/>
          <w:szCs w:val="28"/>
          <w:shd w:val="clear" w:color="auto" w:fill="FFFFFF"/>
        </w:rPr>
        <w:t xml:space="preserve">Отозвать платеж нельзя, но вернуть деньги можно. </w:t>
      </w:r>
      <w:r w:rsidRPr="009F3DC8">
        <w:rPr>
          <w:sz w:val="28"/>
          <w:szCs w:val="28"/>
        </w:rPr>
        <w:t xml:space="preserve">При ошибочном перечислении денег через СБП необходимо обратиться в свой банк, </w:t>
      </w:r>
      <w:r w:rsidR="00D55F86" w:rsidRPr="009F3DC8">
        <w:rPr>
          <w:sz w:val="28"/>
          <w:szCs w:val="28"/>
        </w:rPr>
        <w:t>однако возможность</w:t>
      </w:r>
      <w:r w:rsidRPr="009F3DC8">
        <w:rPr>
          <w:sz w:val="28"/>
          <w:szCs w:val="28"/>
        </w:rPr>
        <w:t xml:space="preserve"> возврата зависит от категории получателя. Если деньги были перечислены физическому лицу, отозвать платеж в одностороннем порядке не получится (как и в случае традиционного перевода другому человеку) – для возврата средств потребуется согласие получателя перевода и его банка. </w:t>
      </w:r>
      <w:r w:rsidR="00801916" w:rsidRPr="009F3DC8">
        <w:rPr>
          <w:sz w:val="28"/>
          <w:szCs w:val="28"/>
        </w:rPr>
        <w:t>При обращении клиента об ошибочной транзакции банк передает обращение в банк получателя</w:t>
      </w:r>
      <w:r w:rsidR="0007522C" w:rsidRPr="009F3DC8">
        <w:rPr>
          <w:sz w:val="28"/>
          <w:szCs w:val="28"/>
        </w:rPr>
        <w:t xml:space="preserve"> (через </w:t>
      </w:r>
      <w:r w:rsidR="0007522C" w:rsidRPr="009F3DC8">
        <w:rPr>
          <w:spacing w:val="-3"/>
          <w:sz w:val="28"/>
          <w:szCs w:val="28"/>
          <w:shd w:val="clear" w:color="auto" w:fill="FFFFFF"/>
        </w:rPr>
        <w:t>процесс «Просьба СБП»)</w:t>
      </w:r>
      <w:r w:rsidR="00801916" w:rsidRPr="009F3DC8">
        <w:rPr>
          <w:sz w:val="28"/>
          <w:szCs w:val="28"/>
        </w:rPr>
        <w:t xml:space="preserve">, который и сообщает своему клиенту об ошибочном переводе. Принудить получателя (списать деньги с его счета по обращению </w:t>
      </w:r>
      <w:r w:rsidR="00D55F86" w:rsidRPr="009F3DC8">
        <w:rPr>
          <w:sz w:val="28"/>
          <w:szCs w:val="28"/>
        </w:rPr>
        <w:t>отправителя</w:t>
      </w:r>
      <w:r w:rsidR="00801916" w:rsidRPr="009F3DC8">
        <w:rPr>
          <w:sz w:val="28"/>
          <w:szCs w:val="28"/>
        </w:rPr>
        <w:t xml:space="preserve">) </w:t>
      </w:r>
      <w:r w:rsidR="00801916" w:rsidRPr="009F3DC8">
        <w:rPr>
          <w:sz w:val="28"/>
          <w:szCs w:val="28"/>
          <w:shd w:val="clear" w:color="auto" w:fill="FFFFFF"/>
        </w:rPr>
        <w:t>банк не может</w:t>
      </w:r>
      <w:r w:rsidRPr="009F3DC8">
        <w:rPr>
          <w:sz w:val="28"/>
          <w:szCs w:val="28"/>
          <w:shd w:val="clear" w:color="auto" w:fill="FFFFFF"/>
        </w:rPr>
        <w:t xml:space="preserve">. </w:t>
      </w:r>
      <w:r w:rsidR="00801916" w:rsidRPr="009F3DC8">
        <w:rPr>
          <w:sz w:val="28"/>
          <w:szCs w:val="28"/>
          <w:shd w:val="clear" w:color="auto" w:fill="FFFFFF"/>
        </w:rPr>
        <w:t xml:space="preserve">Поэтому если получатель не даст своего согласия на возврат средств, возвратить (истребовать) их можно только в судебном порядке (как неосновательное обогащение). </w:t>
      </w:r>
    </w:p>
    <w:p w:rsidR="00350BF0" w:rsidRPr="009F3DC8" w:rsidRDefault="00801916" w:rsidP="00D55F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3DC8">
        <w:rPr>
          <w:sz w:val="28"/>
          <w:szCs w:val="28"/>
        </w:rPr>
        <w:lastRenderedPageBreak/>
        <w:t xml:space="preserve">Возвратить деньги, перечисленные организации или ИП можно и без согласия последних, но только в случае, если </w:t>
      </w:r>
      <w:r w:rsidR="00350BF0" w:rsidRPr="009F3DC8">
        <w:rPr>
          <w:sz w:val="28"/>
          <w:szCs w:val="28"/>
        </w:rPr>
        <w:t xml:space="preserve">взамен </w:t>
      </w:r>
      <w:r w:rsidRPr="009F3DC8">
        <w:rPr>
          <w:sz w:val="28"/>
          <w:szCs w:val="28"/>
        </w:rPr>
        <w:t>отправитель не получил от получателя</w:t>
      </w:r>
      <w:r w:rsidR="00350BF0" w:rsidRPr="009F3DC8">
        <w:rPr>
          <w:sz w:val="28"/>
          <w:szCs w:val="28"/>
        </w:rPr>
        <w:t xml:space="preserve"> товар, услуги. </w:t>
      </w:r>
      <w:r w:rsidRPr="009F3DC8">
        <w:rPr>
          <w:sz w:val="28"/>
          <w:szCs w:val="28"/>
        </w:rPr>
        <w:t xml:space="preserve">Возврат такого платежа через СБП аналогичен процедуре чарджбэка, используемого платежными системами. Возвращать платеж нужно также через свой банк, который при помощи </w:t>
      </w:r>
      <w:proofErr w:type="spellStart"/>
      <w:r w:rsidR="00350BF0" w:rsidRPr="009F3DC8">
        <w:rPr>
          <w:sz w:val="28"/>
          <w:szCs w:val="28"/>
        </w:rPr>
        <w:t>диспутного</w:t>
      </w:r>
      <w:proofErr w:type="spellEnd"/>
      <w:r w:rsidR="00350BF0" w:rsidRPr="009F3DC8">
        <w:rPr>
          <w:sz w:val="28"/>
          <w:szCs w:val="28"/>
        </w:rPr>
        <w:t xml:space="preserve"> механизма СБП</w:t>
      </w:r>
      <w:r w:rsidR="0007522C" w:rsidRPr="009F3DC8">
        <w:rPr>
          <w:sz w:val="28"/>
          <w:szCs w:val="28"/>
        </w:rPr>
        <w:t xml:space="preserve"> (процесс «Диспут СБП»)</w:t>
      </w:r>
      <w:r w:rsidR="00350BF0" w:rsidRPr="009F3DC8">
        <w:rPr>
          <w:sz w:val="28"/>
          <w:szCs w:val="28"/>
        </w:rPr>
        <w:t xml:space="preserve"> окажет помощь в возврате платежа.</w:t>
      </w:r>
    </w:p>
    <w:p w:rsidR="00CE5D91" w:rsidRPr="009F3DC8" w:rsidRDefault="00801916" w:rsidP="00CE5D91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  <w:r w:rsidRPr="009F3DC8">
        <w:rPr>
          <w:sz w:val="28"/>
          <w:szCs w:val="28"/>
          <w:shd w:val="clear" w:color="auto" w:fill="FFFFFF"/>
        </w:rPr>
        <w:t xml:space="preserve">Сообщить об ошибочном зачислении в свой банк и в дальнейшем выразить свое согласие на возврат чужих денег. </w:t>
      </w:r>
    </w:p>
    <w:p w:rsidR="00CE5D91" w:rsidRPr="009F3DC8" w:rsidRDefault="00CE5D91" w:rsidP="00CE5D91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  <w:r w:rsidRPr="009F3DC8">
        <w:rPr>
          <w:sz w:val="28"/>
          <w:szCs w:val="28"/>
          <w:shd w:val="clear" w:color="auto" w:fill="FFFFFF"/>
        </w:rPr>
        <w:t xml:space="preserve">Банковские программы лояльности в большинстве не распространяются на переводы через СБП: не начисляется кэшбек, баллы, мили и другие преференции. Кэшбек от банка происходит за счет того, что банк делится с клиентом своей комиссией от банка-эквайера. При расчетах через СБП комиссия мала и делиться ей для банка может быть экономически невыгодно даже с целью привлечения новых клиентов. Однако кэшбек при оплате СБП нередко можно получить не от банка, а от самой системы быстрых платежей-информация обо всех доступных акциях есть на платформе </w:t>
      </w:r>
      <w:hyperlink r:id="rId8" w:history="1">
        <w:r w:rsidRPr="009F3DC8">
          <w:rPr>
            <w:rStyle w:val="a4"/>
            <w:color w:val="auto"/>
            <w:sz w:val="28"/>
            <w:szCs w:val="28"/>
            <w:shd w:val="clear" w:color="auto" w:fill="FFFFFF"/>
          </w:rPr>
          <w:t>https://vamprivet.ru/</w:t>
        </w:r>
      </w:hyperlink>
      <w:r w:rsidRPr="009F3DC8">
        <w:rPr>
          <w:sz w:val="28"/>
          <w:szCs w:val="28"/>
          <w:shd w:val="clear" w:color="auto" w:fill="FFFFFF"/>
        </w:rPr>
        <w:t xml:space="preserve"> платежной системы МИР.</w:t>
      </w:r>
    </w:p>
    <w:p w:rsidR="00CE5D91" w:rsidRPr="009F3DC8" w:rsidRDefault="00CE5D91" w:rsidP="00CE5D91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  <w:r w:rsidRPr="009F3DC8">
        <w:rPr>
          <w:sz w:val="28"/>
          <w:szCs w:val="28"/>
          <w:shd w:val="clear" w:color="auto" w:fill="FFFFFF"/>
        </w:rPr>
        <w:t xml:space="preserve">Несмотря на то, что лимиты на переводы без комиссии и размер тарифов при переводах сверх лимита устанавливает Банк России, каждый банк устанавливает свои потолки по сумме ежедневных/единоразовых переводов. Возможность и условия увеличения установленного лимита необходимо узнавать в своем банке. </w:t>
      </w:r>
    </w:p>
    <w:p w:rsidR="00CE5D91" w:rsidRPr="009F3DC8" w:rsidRDefault="00CE5D91" w:rsidP="00D55F8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FF0000"/>
          <w:sz w:val="28"/>
          <w:szCs w:val="28"/>
          <w:shd w:val="clear" w:color="auto" w:fill="FFFFFF"/>
        </w:rPr>
      </w:pPr>
    </w:p>
    <w:p w:rsidR="00CE5D91" w:rsidRPr="009F3DC8" w:rsidRDefault="00CE5D91" w:rsidP="00D55F8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/>
          <w:bCs/>
          <w:sz w:val="28"/>
          <w:szCs w:val="28"/>
          <w:shd w:val="clear" w:color="auto" w:fill="FFFFFF"/>
        </w:rPr>
      </w:pPr>
      <w:r w:rsidRPr="009F3DC8">
        <w:rPr>
          <w:b/>
          <w:bCs/>
          <w:sz w:val="28"/>
          <w:szCs w:val="28"/>
          <w:shd w:val="clear" w:color="auto" w:fill="FFFFFF"/>
        </w:rPr>
        <w:t>О безопасности</w:t>
      </w:r>
    </w:p>
    <w:p w:rsidR="00CE5D91" w:rsidRPr="009F3DC8" w:rsidRDefault="00CE5D91" w:rsidP="00D55F8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FF0000"/>
          <w:sz w:val="28"/>
          <w:szCs w:val="28"/>
          <w:shd w:val="clear" w:color="auto" w:fill="FFFFFF"/>
        </w:rPr>
      </w:pPr>
    </w:p>
    <w:p w:rsidR="00801916" w:rsidRPr="009F3DC8" w:rsidRDefault="00801916" w:rsidP="00D55F8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  <w:r w:rsidRPr="009F3DC8">
        <w:rPr>
          <w:sz w:val="28"/>
          <w:szCs w:val="28"/>
          <w:shd w:val="clear" w:color="auto" w:fill="FFFFFF"/>
        </w:rPr>
        <w:t>Оба способа оплаты безопасны</w:t>
      </w:r>
      <w:r w:rsidR="00353138" w:rsidRPr="009F3DC8">
        <w:rPr>
          <w:sz w:val="28"/>
          <w:szCs w:val="28"/>
          <w:shd w:val="clear" w:color="auto" w:fill="FFFFFF"/>
        </w:rPr>
        <w:t xml:space="preserve">: при переводе используются специальные </w:t>
      </w:r>
      <w:r w:rsidR="0006604C" w:rsidRPr="009F3DC8">
        <w:rPr>
          <w:sz w:val="28"/>
          <w:szCs w:val="28"/>
          <w:shd w:val="clear" w:color="auto" w:fill="FFFFFF"/>
        </w:rPr>
        <w:t xml:space="preserve">сложные </w:t>
      </w:r>
      <w:r w:rsidR="00353138" w:rsidRPr="009F3DC8">
        <w:rPr>
          <w:sz w:val="28"/>
          <w:szCs w:val="28"/>
          <w:shd w:val="clear" w:color="auto" w:fill="FFFFFF"/>
        </w:rPr>
        <w:t>алгоритмы и методы многоуровневого шифрования/кодирования при передаче финансовых</w:t>
      </w:r>
      <w:r w:rsidR="00D55F86" w:rsidRPr="009F3DC8">
        <w:rPr>
          <w:sz w:val="28"/>
          <w:szCs w:val="28"/>
          <w:shd w:val="clear" w:color="auto" w:fill="FFFFFF"/>
        </w:rPr>
        <w:t>, персональных</w:t>
      </w:r>
      <w:r w:rsidR="00353138" w:rsidRPr="009F3DC8">
        <w:rPr>
          <w:sz w:val="28"/>
          <w:szCs w:val="28"/>
          <w:shd w:val="clear" w:color="auto" w:fill="FFFFFF"/>
        </w:rPr>
        <w:t xml:space="preserve"> и банковских данных</w:t>
      </w:r>
      <w:r w:rsidR="0006604C" w:rsidRPr="009F3DC8">
        <w:rPr>
          <w:sz w:val="28"/>
          <w:szCs w:val="28"/>
          <w:shd w:val="clear" w:color="auto" w:fill="FFFFFF"/>
        </w:rPr>
        <w:t xml:space="preserve">, а также анализируются индикаторы риска и осуществляется обмен информацией между банками об обнаруженных </w:t>
      </w:r>
      <w:r w:rsidR="0006604C" w:rsidRPr="009F3DC8">
        <w:rPr>
          <w:sz w:val="28"/>
          <w:szCs w:val="28"/>
          <w:shd w:val="clear" w:color="auto" w:fill="FFFFFF"/>
        </w:rPr>
        <w:lastRenderedPageBreak/>
        <w:t>признаках подозрительных транзакций, о блокировках платежа</w:t>
      </w:r>
      <w:r w:rsidR="00353138" w:rsidRPr="009F3DC8">
        <w:rPr>
          <w:sz w:val="28"/>
          <w:szCs w:val="28"/>
          <w:shd w:val="clear" w:color="auto" w:fill="FFFFFF"/>
        </w:rPr>
        <w:t>. Угрозу для безопасности предоставляет не система (будь то традиционные банковские переводы или через СБП), а сам человек. Для мошенника/злоумышленника несоизмеримо проще выуживать необходимые для хищения денег данные или принуждать к совершению определенных действий самого владельца счета (в преобладающем большинстве</w:t>
      </w:r>
      <w:r w:rsidR="0006604C" w:rsidRPr="009F3DC8">
        <w:rPr>
          <w:sz w:val="28"/>
          <w:szCs w:val="28"/>
          <w:shd w:val="clear" w:color="auto" w:fill="FFFFFF"/>
        </w:rPr>
        <w:t xml:space="preserve"> с помощью социальной инженерии)</w:t>
      </w:r>
      <w:r w:rsidR="00353138" w:rsidRPr="009F3DC8">
        <w:rPr>
          <w:sz w:val="28"/>
          <w:szCs w:val="28"/>
          <w:shd w:val="clear" w:color="auto" w:fill="FFFFFF"/>
        </w:rPr>
        <w:t>, чем пытаться взломать систему</w:t>
      </w:r>
      <w:r w:rsidR="0006604C" w:rsidRPr="009F3DC8">
        <w:rPr>
          <w:sz w:val="28"/>
          <w:szCs w:val="28"/>
          <w:shd w:val="clear" w:color="auto" w:fill="FFFFFF"/>
        </w:rPr>
        <w:t xml:space="preserve">. </w:t>
      </w:r>
    </w:p>
    <w:p w:rsidR="0006604C" w:rsidRPr="009F3DC8" w:rsidRDefault="0006604C" w:rsidP="00D55F8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  <w:r w:rsidRPr="009F3DC8">
        <w:rPr>
          <w:sz w:val="28"/>
          <w:szCs w:val="28"/>
          <w:shd w:val="clear" w:color="auto" w:fill="FFFFFF"/>
        </w:rPr>
        <w:t xml:space="preserve">Обязанность по подключению к СБП есть у банков с универсальной лицензией, которые </w:t>
      </w:r>
      <w:r w:rsidR="0007522C" w:rsidRPr="009F3DC8">
        <w:rPr>
          <w:sz w:val="28"/>
          <w:szCs w:val="28"/>
          <w:shd w:val="clear" w:color="auto" w:fill="FFFFFF"/>
        </w:rPr>
        <w:t xml:space="preserve">являются </w:t>
      </w:r>
      <w:r w:rsidRPr="009F3DC8">
        <w:rPr>
          <w:sz w:val="28"/>
          <w:szCs w:val="28"/>
          <w:shd w:val="clear" w:color="auto" w:fill="FFFFFF"/>
        </w:rPr>
        <w:t>участниками платежной системы "Мир"</w:t>
      </w:r>
      <w:r w:rsidR="0007522C" w:rsidRPr="009F3DC8">
        <w:rPr>
          <w:sz w:val="28"/>
          <w:szCs w:val="28"/>
          <w:shd w:val="clear" w:color="auto" w:fill="FFFFFF"/>
        </w:rPr>
        <w:t>.  Для остальных вопрос подключения-дело добровольное. Кроме того, ч</w:t>
      </w:r>
      <w:r w:rsidRPr="009F3DC8">
        <w:rPr>
          <w:sz w:val="28"/>
          <w:szCs w:val="28"/>
          <w:shd w:val="clear" w:color="auto" w:fill="FFFFFF"/>
        </w:rPr>
        <w:t>тобы подключиться к СБП банк</w:t>
      </w:r>
      <w:r w:rsidR="0007522C" w:rsidRPr="009F3DC8">
        <w:rPr>
          <w:sz w:val="28"/>
          <w:szCs w:val="28"/>
          <w:shd w:val="clear" w:color="auto" w:fill="FFFFFF"/>
        </w:rPr>
        <w:t xml:space="preserve"> </w:t>
      </w:r>
      <w:r w:rsidRPr="009F3DC8">
        <w:rPr>
          <w:sz w:val="28"/>
          <w:szCs w:val="28"/>
          <w:shd w:val="clear" w:color="auto" w:fill="FFFFFF"/>
        </w:rPr>
        <w:t>должен соответствовать определенным требованиям Банка России</w:t>
      </w:r>
      <w:r w:rsidR="0007522C" w:rsidRPr="009F3DC8">
        <w:rPr>
          <w:sz w:val="28"/>
          <w:szCs w:val="28"/>
          <w:shd w:val="clear" w:color="auto" w:fill="FFFFFF"/>
        </w:rPr>
        <w:t xml:space="preserve"> по безопасности, о</w:t>
      </w:r>
      <w:r w:rsidR="00D55F86" w:rsidRPr="009F3DC8">
        <w:rPr>
          <w:sz w:val="28"/>
          <w:szCs w:val="28"/>
          <w:shd w:val="clear" w:color="auto" w:fill="FFFFFF"/>
        </w:rPr>
        <w:t xml:space="preserve">бмену информацией, мониторингу </w:t>
      </w:r>
      <w:r w:rsidR="0007522C" w:rsidRPr="009F3DC8">
        <w:rPr>
          <w:sz w:val="28"/>
          <w:szCs w:val="28"/>
          <w:shd w:val="clear" w:color="auto" w:fill="FFFFFF"/>
        </w:rPr>
        <w:t xml:space="preserve">переводов и ряду других критериев. </w:t>
      </w:r>
    </w:p>
    <w:p w:rsidR="003C56E5" w:rsidRDefault="003C56E5" w:rsidP="00CE5D91">
      <w:pPr>
        <w:pStyle w:val="a3"/>
        <w:spacing w:before="0" w:beforeAutospacing="0" w:after="0" w:afterAutospacing="0" w:line="360" w:lineRule="auto"/>
        <w:ind w:left="709"/>
        <w:jc w:val="both"/>
        <w:textAlignment w:val="top"/>
        <w:rPr>
          <w:color w:val="FF0000"/>
          <w:shd w:val="clear" w:color="auto" w:fill="FFFFFF"/>
        </w:rPr>
      </w:pPr>
    </w:p>
    <w:sectPr w:rsidR="003C56E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0003" w:rsidRDefault="00180003" w:rsidP="009F3DC8">
      <w:pPr>
        <w:spacing w:after="0" w:line="240" w:lineRule="auto"/>
      </w:pPr>
      <w:r>
        <w:separator/>
      </w:r>
    </w:p>
  </w:endnote>
  <w:endnote w:type="continuationSeparator" w:id="0">
    <w:p w:rsidR="00180003" w:rsidRDefault="00180003" w:rsidP="009F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0003" w:rsidRDefault="00180003" w:rsidP="009F3DC8">
      <w:pPr>
        <w:spacing w:after="0" w:line="240" w:lineRule="auto"/>
      </w:pPr>
      <w:r>
        <w:separator/>
      </w:r>
    </w:p>
  </w:footnote>
  <w:footnote w:type="continuationSeparator" w:id="0">
    <w:p w:rsidR="00180003" w:rsidRDefault="00180003" w:rsidP="009F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3DC8" w:rsidRDefault="009F3DC8">
    <w:pPr>
      <w:pStyle w:val="a7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55BC0D2B">
          <wp:simplePos x="0" y="0"/>
          <wp:positionH relativeFrom="column">
            <wp:posOffset>4920615</wp:posOffset>
          </wp:positionH>
          <wp:positionV relativeFrom="paragraph">
            <wp:posOffset>-163830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906D1"/>
    <w:multiLevelType w:val="hybridMultilevel"/>
    <w:tmpl w:val="9CAE5006"/>
    <w:lvl w:ilvl="0" w:tplc="FBD495CE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04"/>
    <w:rsid w:val="0006604C"/>
    <w:rsid w:val="0007522C"/>
    <w:rsid w:val="00157515"/>
    <w:rsid w:val="00180003"/>
    <w:rsid w:val="00204AA2"/>
    <w:rsid w:val="002237D3"/>
    <w:rsid w:val="00283F91"/>
    <w:rsid w:val="00350BF0"/>
    <w:rsid w:val="00353138"/>
    <w:rsid w:val="003C56E5"/>
    <w:rsid w:val="005E2250"/>
    <w:rsid w:val="00801916"/>
    <w:rsid w:val="00984204"/>
    <w:rsid w:val="009F3DC8"/>
    <w:rsid w:val="00A611C7"/>
    <w:rsid w:val="00A963E4"/>
    <w:rsid w:val="00AD0862"/>
    <w:rsid w:val="00CA4C9E"/>
    <w:rsid w:val="00CE5D91"/>
    <w:rsid w:val="00D54B07"/>
    <w:rsid w:val="00D55F86"/>
    <w:rsid w:val="00F6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AC50"/>
  <w15:docId w15:val="{26AACFB1-60DC-654F-B4E5-45F4B017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4204"/>
    <w:rPr>
      <w:color w:val="0563C1" w:themeColor="hyperlink"/>
      <w:u w:val="single"/>
    </w:rPr>
  </w:style>
  <w:style w:type="paragraph" w:customStyle="1" w:styleId="docdata">
    <w:name w:val="docdata"/>
    <w:aliases w:val="docy,v5,4903,bqiaagaaeyqcaaagiaiaaapqdqaabd4naaaaaaaaaaaaaaaaaaaaaaaaaaaaaaaaaaaaaaaaaaaaaaaaaaaaaaaaaaaaaaaaaaaaaaaaaaaaaaaaaaaaaaaaaaaaaaaaaaaaaaaaaaaaaaaaaaaaaaaaaaaaaaaaaaaaaaaaaaaaaaaaaaaaaaaaaaaaaaaaaaaaaaaaaaaaaaaaaaaaaaaaaaaaaaaaaaaaaaaa"/>
    <w:basedOn w:val="a"/>
    <w:rsid w:val="0035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E5D9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CE5D9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F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3DC8"/>
  </w:style>
  <w:style w:type="paragraph" w:styleId="a9">
    <w:name w:val="footer"/>
    <w:basedOn w:val="a"/>
    <w:link w:val="aa"/>
    <w:uiPriority w:val="99"/>
    <w:unhideWhenUsed/>
    <w:rsid w:val="009F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mpriv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ance.mail.ru/card/sbp-9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2</cp:revision>
  <dcterms:created xsi:type="dcterms:W3CDTF">2025-03-26T07:05:00Z</dcterms:created>
  <dcterms:modified xsi:type="dcterms:W3CDTF">2025-03-26T07:05:00Z</dcterms:modified>
</cp:coreProperties>
</file>