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9D2078">
        <w:rPr>
          <w:b/>
          <w:sz w:val="28"/>
          <w:szCs w:val="28"/>
          <w:lang w:val="en-US"/>
        </w:rPr>
        <w:t>I</w:t>
      </w:r>
      <w:r w:rsidR="009D2078" w:rsidRPr="00524216">
        <w:rPr>
          <w:b/>
          <w:sz w:val="28"/>
          <w:szCs w:val="28"/>
        </w:rPr>
        <w:t xml:space="preserve"> </w:t>
      </w:r>
      <w:r w:rsidR="009D2078">
        <w:rPr>
          <w:b/>
          <w:sz w:val="28"/>
          <w:szCs w:val="28"/>
        </w:rPr>
        <w:t xml:space="preserve">квартал </w:t>
      </w:r>
      <w:r w:rsidR="007B0510" w:rsidRPr="00D85FE5">
        <w:rPr>
          <w:b/>
          <w:sz w:val="28"/>
          <w:szCs w:val="28"/>
        </w:rPr>
        <w:t>201</w:t>
      </w:r>
      <w:r w:rsidR="009D2078">
        <w:rPr>
          <w:b/>
          <w:sz w:val="28"/>
          <w:szCs w:val="28"/>
        </w:rPr>
        <w:t>9</w:t>
      </w:r>
      <w:r w:rsidRPr="00D85FE5">
        <w:rPr>
          <w:b/>
          <w:sz w:val="28"/>
          <w:szCs w:val="28"/>
        </w:rPr>
        <w:t xml:space="preserve"> год</w:t>
      </w:r>
      <w:r w:rsidR="009D2078">
        <w:rPr>
          <w:b/>
          <w:sz w:val="28"/>
          <w:szCs w:val="28"/>
        </w:rPr>
        <w:t>а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Pr="00D85FE5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 xml:space="preserve">тв бюджета Забайкальского края </w:t>
      </w:r>
      <w:r w:rsidR="00524216" w:rsidRPr="00524216">
        <w:rPr>
          <w:sz w:val="28"/>
          <w:szCs w:val="28"/>
        </w:rPr>
        <w:t>за I квартал 2019 года</w:t>
      </w:r>
      <w:r w:rsidR="00524216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6748F3" w:rsidRPr="00D85FE5">
        <w:rPr>
          <w:sz w:val="28"/>
          <w:szCs w:val="28"/>
        </w:rPr>
        <w:t>о</w:t>
      </w:r>
      <w:r w:rsidR="00FF2066" w:rsidRPr="00D85FE5">
        <w:rPr>
          <w:sz w:val="28"/>
          <w:szCs w:val="28"/>
        </w:rPr>
        <w:t xml:space="preserve">м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D4EBA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Результаты</w:t>
      </w:r>
      <w:r w:rsidR="00731CB9" w:rsidRPr="00D85FE5">
        <w:rPr>
          <w:sz w:val="28"/>
          <w:szCs w:val="28"/>
        </w:rPr>
        <w:t xml:space="preserve"> проведенного мониторинга </w:t>
      </w:r>
      <w:r w:rsidRPr="00D85FE5">
        <w:rPr>
          <w:sz w:val="28"/>
          <w:szCs w:val="28"/>
        </w:rPr>
        <w:t xml:space="preserve">выглядят следующим образом: </w:t>
      </w:r>
    </w:p>
    <w:p w:rsidR="00731CB9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1) </w:t>
      </w:r>
      <w:r w:rsidR="00AD135C" w:rsidRPr="00D85FE5">
        <w:rPr>
          <w:sz w:val="28"/>
          <w:szCs w:val="28"/>
        </w:rPr>
        <w:t>по группе</w:t>
      </w:r>
      <w:r w:rsidR="00731CB9" w:rsidRPr="00D85FE5">
        <w:rPr>
          <w:sz w:val="28"/>
          <w:szCs w:val="28"/>
        </w:rPr>
        <w:t xml:space="preserve"> главных распорядителей средств бюджета Забайкальского края, </w:t>
      </w:r>
      <w:r w:rsidR="00AD135C" w:rsidRPr="00D85FE5">
        <w:rPr>
          <w:sz w:val="28"/>
          <w:szCs w:val="28"/>
        </w:rPr>
        <w:t>не осуществляющих функции и полномочия учредителей государственных учреждений</w:t>
      </w:r>
      <w:r w:rsidR="00731CB9" w:rsidRPr="00D85FE5">
        <w:rPr>
          <w:sz w:val="28"/>
          <w:szCs w:val="28"/>
        </w:rPr>
        <w:t>:</w:t>
      </w:r>
    </w:p>
    <w:p w:rsidR="003D0740" w:rsidRPr="00380E86" w:rsidRDefault="003D0740" w:rsidP="0007638A">
      <w:pPr>
        <w:jc w:val="both"/>
        <w:rPr>
          <w:sz w:val="8"/>
          <w:szCs w:val="26"/>
        </w:rPr>
      </w:pPr>
    </w:p>
    <w:tbl>
      <w:tblPr>
        <w:tblW w:w="9337" w:type="dxa"/>
        <w:tblInd w:w="93" w:type="dxa"/>
        <w:tblLook w:val="04A0" w:firstRow="1" w:lastRow="0" w:firstColumn="1" w:lastColumn="0" w:noHBand="0" w:noVBand="1"/>
      </w:tblPr>
      <w:tblGrid>
        <w:gridCol w:w="6664"/>
        <w:gridCol w:w="1077"/>
        <w:gridCol w:w="1596"/>
      </w:tblGrid>
      <w:tr w:rsidR="00742C26" w:rsidRPr="00D85FE5" w:rsidTr="00B23D24">
        <w:trPr>
          <w:trHeight w:val="1265"/>
          <w:tblHeader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4926B6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380E86" w:rsidRPr="00D85FE5" w:rsidTr="006C65C2">
        <w:trPr>
          <w:trHeight w:val="291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Министерство международного сотрудничества, внешнеэкономических связей и туризма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28,50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81,4%</w:t>
            </w:r>
          </w:p>
        </w:tc>
      </w:tr>
      <w:tr w:rsidR="00380E86" w:rsidRPr="00D85FE5" w:rsidTr="006C65C2">
        <w:trPr>
          <w:trHeight w:val="291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315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Контрольно-счетная палата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195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Избирательная комиссия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247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Законодательное Собрание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236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27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150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26,60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76,0%</w:t>
            </w:r>
          </w:p>
        </w:tc>
      </w:tr>
      <w:tr w:rsidR="00380E86" w:rsidRPr="00D85FE5" w:rsidTr="006C65C2">
        <w:trPr>
          <w:trHeight w:val="26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25,60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73,1%</w:t>
            </w:r>
          </w:p>
        </w:tc>
      </w:tr>
      <w:tr w:rsidR="00380E86" w:rsidRPr="00D85FE5" w:rsidTr="006C65C2">
        <w:trPr>
          <w:trHeight w:val="284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Государственная инспекция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19,60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56,0%</w:t>
            </w:r>
          </w:p>
        </w:tc>
      </w:tr>
    </w:tbl>
    <w:p w:rsidR="00AD135C" w:rsidRPr="00380E86" w:rsidRDefault="00AD135C" w:rsidP="0007638A">
      <w:pPr>
        <w:spacing w:before="100"/>
        <w:ind w:firstLine="709"/>
        <w:jc w:val="both"/>
        <w:rPr>
          <w:sz w:val="6"/>
          <w:szCs w:val="26"/>
        </w:rPr>
      </w:pPr>
    </w:p>
    <w:p w:rsidR="002B4217" w:rsidRDefault="00CC0709" w:rsidP="00E30A30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2) п</w:t>
      </w:r>
      <w:r w:rsidR="004926B6" w:rsidRPr="00D85FE5">
        <w:rPr>
          <w:sz w:val="28"/>
          <w:szCs w:val="28"/>
        </w:rPr>
        <w:t xml:space="preserve">о группе </w:t>
      </w:r>
      <w:r w:rsidR="000F1250" w:rsidRPr="00D85FE5">
        <w:rPr>
          <w:sz w:val="28"/>
          <w:szCs w:val="28"/>
        </w:rPr>
        <w:t xml:space="preserve">главных распорядителей средств бюджета Забайкальского края, </w:t>
      </w:r>
      <w:r w:rsidRPr="00D85FE5">
        <w:rPr>
          <w:sz w:val="28"/>
          <w:szCs w:val="28"/>
        </w:rPr>
        <w:t>осуществляющих функции и полномочия учредителей в отношении не более десяти государственных учреждений</w:t>
      </w:r>
      <w:r w:rsidR="002341BE" w:rsidRPr="00D85FE5">
        <w:rPr>
          <w:sz w:val="28"/>
          <w:szCs w:val="28"/>
        </w:rPr>
        <w:t>:</w:t>
      </w:r>
    </w:p>
    <w:p w:rsidR="00380E86" w:rsidRPr="00380E86" w:rsidRDefault="00380E86" w:rsidP="00E30A30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742C26" w:rsidRPr="00D85FE5" w:rsidTr="00356B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42C26" w:rsidRPr="00D85FE5" w:rsidTr="00356B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0E86" w:rsidRPr="00D85FE5" w:rsidTr="0005422A">
        <w:trPr>
          <w:trHeight w:val="256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52,50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95,5%</w:t>
            </w:r>
          </w:p>
        </w:tc>
      </w:tr>
      <w:tr w:rsidR="00380E86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lastRenderedPageBreak/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50,00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90,9%</w:t>
            </w:r>
          </w:p>
        </w:tc>
      </w:tr>
      <w:tr w:rsidR="00380E86" w:rsidRPr="00D85FE5" w:rsidTr="0005422A">
        <w:trPr>
          <w:trHeight w:val="239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Министерство финансов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49,90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90,7%</w:t>
            </w:r>
          </w:p>
        </w:tc>
      </w:tr>
      <w:tr w:rsidR="00380E86" w:rsidRPr="00D85FE5" w:rsidTr="0005422A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48,00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87,3%</w:t>
            </w:r>
          </w:p>
        </w:tc>
      </w:tr>
      <w:tr w:rsidR="00380E86" w:rsidRPr="00D85FE5" w:rsidTr="0005422A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44,90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81,6%</w:t>
            </w:r>
          </w:p>
        </w:tc>
      </w:tr>
      <w:tr w:rsidR="00380E86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42,50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77,3%</w:t>
            </w:r>
          </w:p>
        </w:tc>
      </w:tr>
      <w:tr w:rsidR="00380E86" w:rsidRPr="00D85FE5" w:rsidTr="0005422A">
        <w:trPr>
          <w:trHeight w:val="255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72,7%</w:t>
            </w:r>
          </w:p>
        </w:tc>
      </w:tr>
      <w:tr w:rsidR="00380E86" w:rsidRPr="00D85FE5" w:rsidTr="0005422A">
        <w:trPr>
          <w:trHeight w:val="292"/>
        </w:trPr>
        <w:tc>
          <w:tcPr>
            <w:tcW w:w="6804" w:type="dxa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38,50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70,0%</w:t>
            </w:r>
          </w:p>
        </w:tc>
      </w:tr>
      <w:tr w:rsidR="00380E86" w:rsidRPr="00D85FE5" w:rsidTr="0005422A">
        <w:trPr>
          <w:trHeight w:val="236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 xml:space="preserve">Министерство природных ресурсов и экологии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38,50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70,0%</w:t>
            </w:r>
          </w:p>
        </w:tc>
      </w:tr>
      <w:tr w:rsidR="00380E86" w:rsidRPr="00D85FE5" w:rsidTr="0005422A">
        <w:trPr>
          <w:trHeight w:val="305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Администрация Губернатора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63,6%</w:t>
            </w:r>
          </w:p>
        </w:tc>
      </w:tr>
      <w:tr w:rsidR="00380E86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Министерство территориального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63,6%</w:t>
            </w:r>
          </w:p>
        </w:tc>
      </w:tr>
      <w:tr w:rsidR="00380E86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32,00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58,2%</w:t>
            </w:r>
          </w:p>
        </w:tc>
      </w:tr>
    </w:tbl>
    <w:p w:rsidR="004926B6" w:rsidRPr="00380E86" w:rsidRDefault="004926B6" w:rsidP="00CB54A0">
      <w:pPr>
        <w:jc w:val="both"/>
        <w:rPr>
          <w:sz w:val="8"/>
          <w:szCs w:val="26"/>
        </w:rPr>
      </w:pP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3) по группе главных распорядителей средств бюджета Забайкальского края, осуществляющих функции и полномочия учредителей в отношении более десяти государственных учреждений:</w:t>
      </w:r>
    </w:p>
    <w:p w:rsidR="00001EA0" w:rsidRPr="00380E86" w:rsidRDefault="00001EA0" w:rsidP="004926B6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001EA0" w:rsidRPr="00D85FE5" w:rsidTr="00DA3C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001EA0" w:rsidRPr="00D85FE5" w:rsidTr="00DA3C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0E86" w:rsidRPr="00D85FE5" w:rsidTr="00665C82">
        <w:trPr>
          <w:trHeight w:val="292"/>
        </w:trPr>
        <w:tc>
          <w:tcPr>
            <w:tcW w:w="6804" w:type="dxa"/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 xml:space="preserve">Министерство культуры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49,00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89,1%</w:t>
            </w:r>
          </w:p>
        </w:tc>
      </w:tr>
      <w:tr w:rsidR="00380E86" w:rsidRPr="00D85FE5" w:rsidTr="00665C82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47,00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85,5%</w:t>
            </w:r>
          </w:p>
        </w:tc>
      </w:tr>
      <w:tr w:rsidR="00380E86" w:rsidRPr="00D85FE5" w:rsidTr="00665C82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38,00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69,1%</w:t>
            </w:r>
          </w:p>
        </w:tc>
      </w:tr>
      <w:tr w:rsidR="00380E86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35,00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63,6%</w:t>
            </w:r>
          </w:p>
        </w:tc>
      </w:tr>
      <w:tr w:rsidR="00380E86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80E86" w:rsidRPr="00380E86" w:rsidRDefault="00380E86">
            <w:pPr>
              <w:rPr>
                <w:sz w:val="24"/>
                <w:szCs w:val="24"/>
              </w:rPr>
            </w:pPr>
            <w:r w:rsidRPr="00380E86">
              <w:rPr>
                <w:sz w:val="24"/>
              </w:rPr>
              <w:t xml:space="preserve">Министерство сельского хозяйства и продовольствия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28,00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80E86" w:rsidRPr="00380E86" w:rsidRDefault="00380E86">
            <w:pPr>
              <w:jc w:val="center"/>
              <w:rPr>
                <w:color w:val="000000"/>
                <w:sz w:val="24"/>
                <w:szCs w:val="24"/>
              </w:rPr>
            </w:pPr>
            <w:r w:rsidRPr="00380E86">
              <w:rPr>
                <w:color w:val="000000"/>
                <w:sz w:val="24"/>
              </w:rPr>
              <w:t>50,9%</w:t>
            </w:r>
          </w:p>
        </w:tc>
      </w:tr>
    </w:tbl>
    <w:p w:rsidR="00001EA0" w:rsidRPr="00380E86" w:rsidRDefault="00001EA0" w:rsidP="004926B6">
      <w:pPr>
        <w:ind w:firstLine="709"/>
        <w:jc w:val="both"/>
        <w:rPr>
          <w:sz w:val="8"/>
          <w:szCs w:val="26"/>
        </w:rPr>
      </w:pPr>
    </w:p>
    <w:p w:rsidR="000D4EBA" w:rsidRPr="00D85FE5" w:rsidRDefault="000D4EBA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По результатам мониторинга за </w:t>
      </w:r>
      <w:r w:rsidR="00524216" w:rsidRPr="00524216">
        <w:rPr>
          <w:sz w:val="28"/>
          <w:szCs w:val="28"/>
        </w:rPr>
        <w:t>I квартал 2019 года</w:t>
      </w:r>
      <w:r w:rsidR="00524216">
        <w:rPr>
          <w:sz w:val="28"/>
          <w:szCs w:val="28"/>
        </w:rPr>
        <w:t xml:space="preserve"> </w:t>
      </w:r>
      <w:r w:rsidR="00E30A30" w:rsidRPr="00D85FE5">
        <w:rPr>
          <w:sz w:val="28"/>
          <w:szCs w:val="28"/>
        </w:rPr>
        <w:t>среди главных распорядителей средств бюджета Забайкальского края</w:t>
      </w:r>
      <w:r w:rsidRPr="00D85FE5">
        <w:rPr>
          <w:sz w:val="28"/>
          <w:szCs w:val="28"/>
        </w:rPr>
        <w:t xml:space="preserve"> отмечается снижение </w:t>
      </w:r>
      <w:r w:rsidR="00E30A30" w:rsidRPr="00D85FE5">
        <w:rPr>
          <w:sz w:val="28"/>
          <w:szCs w:val="28"/>
        </w:rPr>
        <w:t xml:space="preserve">значения показателя </w:t>
      </w:r>
      <w:r w:rsidRPr="00D85FE5">
        <w:rPr>
          <w:sz w:val="28"/>
          <w:szCs w:val="28"/>
        </w:rPr>
        <w:t>качества финансового менеджмента по причинам:</w:t>
      </w:r>
    </w:p>
    <w:p w:rsidR="00D85FE5" w:rsidRPr="00380E86" w:rsidRDefault="000D4EBA" w:rsidP="00D85FE5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0E86">
        <w:rPr>
          <w:sz w:val="28"/>
          <w:szCs w:val="28"/>
        </w:rPr>
        <w:t>нарушени</w:t>
      </w:r>
      <w:r w:rsidR="00E30A30" w:rsidRPr="00380E86">
        <w:rPr>
          <w:sz w:val="28"/>
          <w:szCs w:val="28"/>
        </w:rPr>
        <w:t>я</w:t>
      </w:r>
      <w:r w:rsidRPr="00380E86">
        <w:rPr>
          <w:sz w:val="28"/>
          <w:szCs w:val="28"/>
        </w:rPr>
        <w:t xml:space="preserve"> сроков внесения изменений в государственные программы;</w:t>
      </w:r>
    </w:p>
    <w:p w:rsidR="00D85FE5" w:rsidRPr="00380E86" w:rsidRDefault="00D85FE5" w:rsidP="00D85FE5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0E86">
        <w:rPr>
          <w:sz w:val="28"/>
          <w:szCs w:val="28"/>
        </w:rPr>
        <w:t>снижения объема доходов от приносящей доход деятельности автономных и бюджетных учреждений;</w:t>
      </w:r>
    </w:p>
    <w:p w:rsidR="005C3001" w:rsidRPr="00380E86" w:rsidRDefault="005C3001" w:rsidP="00380E86">
      <w:pPr>
        <w:tabs>
          <w:tab w:val="left" w:pos="1134"/>
        </w:tabs>
        <w:jc w:val="both"/>
        <w:rPr>
          <w:sz w:val="28"/>
          <w:szCs w:val="28"/>
          <w:highlight w:val="yellow"/>
        </w:rPr>
      </w:pPr>
    </w:p>
    <w:sectPr w:rsidR="005C3001" w:rsidRPr="00380E86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FD" w:rsidRDefault="00C27AFD" w:rsidP="00380E86">
      <w:r>
        <w:separator/>
      </w:r>
    </w:p>
  </w:endnote>
  <w:endnote w:type="continuationSeparator" w:id="0">
    <w:p w:rsidR="00C27AFD" w:rsidRDefault="00C27AFD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FD" w:rsidRDefault="00C27AFD" w:rsidP="00380E86">
      <w:r>
        <w:separator/>
      </w:r>
    </w:p>
  </w:footnote>
  <w:footnote w:type="continuationSeparator" w:id="0">
    <w:p w:rsidR="00C27AFD" w:rsidRDefault="00C27AFD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E0308">
      <w:rPr>
        <w:noProof/>
      </w:rPr>
      <w:t>2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D1D71"/>
    <w:rsid w:val="000D3679"/>
    <w:rsid w:val="000D3A62"/>
    <w:rsid w:val="000D3BF8"/>
    <w:rsid w:val="000D4EBA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3F1E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7EEA"/>
    <w:rsid w:val="00560716"/>
    <w:rsid w:val="00562845"/>
    <w:rsid w:val="0056601A"/>
    <w:rsid w:val="00570145"/>
    <w:rsid w:val="005705C6"/>
    <w:rsid w:val="00572281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2787F"/>
    <w:rsid w:val="00630A3B"/>
    <w:rsid w:val="00634B54"/>
    <w:rsid w:val="00635EC2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4684"/>
    <w:rsid w:val="007757A2"/>
    <w:rsid w:val="00780EDE"/>
    <w:rsid w:val="00783046"/>
    <w:rsid w:val="0078419F"/>
    <w:rsid w:val="00784564"/>
    <w:rsid w:val="0079202A"/>
    <w:rsid w:val="0079317D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308"/>
    <w:rsid w:val="00AE0457"/>
    <w:rsid w:val="00AE07AF"/>
    <w:rsid w:val="00AE0B75"/>
    <w:rsid w:val="00AE3A9D"/>
    <w:rsid w:val="00AE4DD7"/>
    <w:rsid w:val="00AF6D25"/>
    <w:rsid w:val="00B00F42"/>
    <w:rsid w:val="00B014B4"/>
    <w:rsid w:val="00B015FD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46E3"/>
    <w:rsid w:val="00BC4F8D"/>
    <w:rsid w:val="00BC5341"/>
    <w:rsid w:val="00BC770D"/>
    <w:rsid w:val="00BD0899"/>
    <w:rsid w:val="00BD272A"/>
    <w:rsid w:val="00BD6BC2"/>
    <w:rsid w:val="00BE05CB"/>
    <w:rsid w:val="00BE1B85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18C9"/>
    <w:rsid w:val="00C7391C"/>
    <w:rsid w:val="00C75D6D"/>
    <w:rsid w:val="00C779A2"/>
    <w:rsid w:val="00C77D07"/>
    <w:rsid w:val="00C840F8"/>
    <w:rsid w:val="00C86B8B"/>
    <w:rsid w:val="00C87277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2319F"/>
    <w:rsid w:val="00D255E1"/>
    <w:rsid w:val="00D3259A"/>
    <w:rsid w:val="00D34C8A"/>
    <w:rsid w:val="00D34E1F"/>
    <w:rsid w:val="00D40D43"/>
    <w:rsid w:val="00D42829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A20DA"/>
    <w:rsid w:val="00DA2123"/>
    <w:rsid w:val="00DA3CF3"/>
    <w:rsid w:val="00DB6322"/>
    <w:rsid w:val="00DC484D"/>
    <w:rsid w:val="00DC6E95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DE8EBF-02A9-4B74-B6D8-AAB3F95B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2018-07-31T05:19:00Z</cp:lastPrinted>
  <dcterms:created xsi:type="dcterms:W3CDTF">2019-07-24T08:26:00Z</dcterms:created>
  <dcterms:modified xsi:type="dcterms:W3CDTF">2019-07-24T08:26:00Z</dcterms:modified>
</cp:coreProperties>
</file>