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ПМЭФ обсудили влияние «культурного кода» на финансовое поведение граждан и развитие экономики страны</w:t>
      </w:r>
    </w:p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Влияние культуры на формирование рациональных установок финансового поведения обсудили участники круглого стола «Культурный код финансового ЗОЖ: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формируют новые поведенческие установки». Дискуссия, подготовленная НИФИ Минфина России, состоялась 1</w:t>
      </w:r>
      <w:r>
        <w:rPr>
          <w:rFonts w:ascii="Times New Roman" w:eastAsia="Times New Roman" w:hAnsi="Times New Roman" w:cs="Times New Roman"/>
          <w:sz w:val="24"/>
          <w:szCs w:val="24"/>
        </w:rPr>
        <w:t>6 июня 2022 года в рамках Петербургского международного экономического форума. Актуальность темы очевидна: в последние годы происходящее в экономике не поддается классическому анализу. Похоже, экономистам уже не обойтись без понимания преобладающих в общес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 культурных паттернов. </w:t>
      </w:r>
    </w:p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многих странах талант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 рассматриваются как драйвер экономического и территориального развития, отметила министр культуры Российской Федерации Ольга Любимова.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индустрии – это относительно новое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для нас. Очень непросто талантливым людям, особенно в регионах, найти инвестора, заняться бизнесом, 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он связан с такими сферами, как, например, народные промыслы. Сегодня меняется отношение к деньгам в контексте культуры. Это бо</w:t>
      </w:r>
      <w:r>
        <w:rPr>
          <w:rFonts w:ascii="Times New Roman" w:eastAsia="Times New Roman" w:hAnsi="Times New Roman" w:cs="Times New Roman"/>
          <w:sz w:val="24"/>
          <w:szCs w:val="24"/>
        </w:rPr>
        <w:t>льше не вопрос о том, чтобы на ком-то заработать, а о том, чтобы получить дополнительные средства, чтобы дальше развиваться и делать еще ярче и содержательнее», – подчеркнула она.</w:t>
      </w:r>
    </w:p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мнению заместителя министра финансов Михаила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финансовая культур</w:t>
      </w:r>
      <w:r>
        <w:rPr>
          <w:rFonts w:ascii="Times New Roman" w:eastAsia="Times New Roman" w:hAnsi="Times New Roman" w:cs="Times New Roman"/>
          <w:sz w:val="24"/>
          <w:szCs w:val="24"/>
        </w:rPr>
        <w:t>а многогранна. Она, прежде всего, состоит из культурных установок и ценностей, связанных с личными финансами. Это касается и сбережений, и рациональных трат, и умения принимать взвешенные финансовые решения. Однако не менее важной составляющей финансовой к</w:t>
      </w:r>
      <w:r>
        <w:rPr>
          <w:rFonts w:ascii="Times New Roman" w:eastAsia="Times New Roman" w:hAnsi="Times New Roman" w:cs="Times New Roman"/>
          <w:sz w:val="24"/>
          <w:szCs w:val="24"/>
        </w:rPr>
        <w:t>ультуры является развитие представлений о принципах построения общественных финансов. Как формируется бюджет? Почему нужно платить налоги? Как можно принять участие в распределении тех средств, которые есть в бюджете, чтобы они позволили решить насущные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облемы людей? Проекты инициативного бюджетирования, проект «Открытый бюджет для граждан» и другие интегрируются в систему развития финансовой культуры. </w:t>
      </w:r>
    </w:p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 последние 10 лет пять ведущих экономических университетов страны сформировали базу, охватывающую вс</w:t>
      </w:r>
      <w:r>
        <w:rPr>
          <w:rFonts w:ascii="Times New Roman" w:eastAsia="Times New Roman" w:hAnsi="Times New Roman" w:cs="Times New Roman"/>
          <w:sz w:val="24"/>
          <w:szCs w:val="24"/>
        </w:rPr>
        <w:t>е уровни образования. Развитие финансовой культуры на базе этих наработок представляется нам стратегически важной задачей для всей финансовой системы страны. Это стало неотъемлемой частью государственной программы развития финансовой системы страны и Страт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егии развития финансовых рынков до 2030 года», –  заявил Михаил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Котюков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культурные проекты становятся источниками передовых знаний, в том числе и по финансовой грамотности. Новым компетенциям обучают в модельных библиотеках – современных пространс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твах с книгами, компьютерами, новыми технологиями и огромным выбором образовательных активностей. Подобные проекты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лихвой окупаются, а ответственное обращение с финансами впоследствии влияет и на развитие культурной инфраструктуры в стране. Кстати, сегод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 каждый десятый проект инициативного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или иначе связан с культурой: развитием библиотек, ремонтом памятников, домов культуры, созданием этнографических музеев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медиастудий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сессии сошлись во мнении, что системное партнерство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заинтересованных участников процесса – государства, производителей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цифровых сервисов, образовательных учреждений и платформ, коммерческих финансовых  структур – позволит создавать творческие произведения, способные повлиять на поведенческие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установки граждан.  </w:t>
      </w:r>
    </w:p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Несколько проектов на стыке культуры и финансовой грамотности были анонсированы на сессии и появятся уже в этом году:</w:t>
      </w:r>
    </w:p>
    <w:p w:rsidR="00AA11EC" w:rsidRDefault="00786911">
      <w:pPr>
        <w:pStyle w:val="normal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разумного финансового поведения найдет отражение в анимационном сериале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В рамках совместного пр</w:t>
      </w:r>
      <w:r>
        <w:rPr>
          <w:rFonts w:ascii="Times New Roman" w:eastAsia="Times New Roman" w:hAnsi="Times New Roman" w:cs="Times New Roman"/>
          <w:sz w:val="24"/>
          <w:szCs w:val="24"/>
        </w:rPr>
        <w:t>оекта министерства культуры, Минфина России и студии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планируется выпустить пять новых серий.</w:t>
      </w:r>
    </w:p>
    <w:p w:rsidR="00AA11EC" w:rsidRDefault="00786911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сериале для подростков «Хочу все знать» появятся новые серии по финансовой грамотности. Это совместный проект Минфина России и киностудии им.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Горького.</w:t>
      </w:r>
    </w:p>
    <w:p w:rsidR="00AA11EC" w:rsidRDefault="00786911">
      <w:pPr>
        <w:pStyle w:val="normal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«Пушкин знает!» – совместный проект НИФИ Минфина России и Почта Банка. Речь идет о создании серии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видеоподкастов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посвященных принципами финансового ЗОЖ, а также о проведении конкурса видеороликов для молодежи.</w:t>
      </w:r>
    </w:p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дискуссии также приняли участие:</w:t>
      </w:r>
    </w:p>
    <w:p w:rsidR="00AA11EC" w:rsidRDefault="00786911">
      <w:pPr>
        <w:pStyle w:val="normal"/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Аузан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декан экономического факультета МГУ имени М. В. Ломоносова.</w:t>
      </w:r>
    </w:p>
    <w:p w:rsidR="00AA11EC" w:rsidRDefault="00786911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Гореславский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генеральный директор АНО «Институт развития интернета».</w:t>
      </w:r>
    </w:p>
    <w:p w:rsidR="00AA11EC" w:rsidRDefault="00786911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 Пахомов</w:t>
      </w:r>
      <w:r>
        <w:rPr>
          <w:rFonts w:ascii="Times New Roman" w:eastAsia="Times New Roman" w:hAnsi="Times New Roman" w:cs="Times New Roman"/>
          <w:sz w:val="24"/>
          <w:szCs w:val="24"/>
        </w:rPr>
        <w:t>, президент-председатель правления Почта Банка.</w:t>
      </w:r>
    </w:p>
    <w:p w:rsidR="00AA11EC" w:rsidRDefault="00786911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Любовь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Маляревская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генеральный дир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ектор АО «Русская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Медиагруппа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A11EC" w:rsidRDefault="00786911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Ирина Осадчая,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генерального директора АНО «Национальные приоритеты».</w:t>
      </w:r>
    </w:p>
    <w:p w:rsidR="00AA11EC" w:rsidRDefault="00786911">
      <w:pPr>
        <w:pStyle w:val="normal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Юлиана Слащёва,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совета директоров киностудии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Союзмультфильм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генеральный директор киностудии имени М. Горького.</w:t>
      </w:r>
    </w:p>
    <w:p w:rsidR="00AA11EC" w:rsidRDefault="00786911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 трансляци</w:t>
      </w:r>
      <w:r>
        <w:rPr>
          <w:rFonts w:ascii="Times New Roman" w:eastAsia="Times New Roman" w:hAnsi="Times New Roman" w:cs="Times New Roman"/>
          <w:sz w:val="24"/>
          <w:szCs w:val="24"/>
        </w:rPr>
        <w:t>и доступна по ссылке:</w:t>
      </w:r>
    </w:p>
    <w:p w:rsidR="00AA11EC" w:rsidRDefault="00AA11EC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786911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https://forumspb.com/programme/business-programme/97154/</w:t>
        </w:r>
      </w:hyperlink>
      <w:r w:rsidR="007869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6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A11EC" w:rsidSect="00AA11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C38AC"/>
    <w:multiLevelType w:val="multilevel"/>
    <w:tmpl w:val="CD5A9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6B95FEF"/>
    <w:multiLevelType w:val="multilevel"/>
    <w:tmpl w:val="2384C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1EC"/>
    <w:rsid w:val="00786911"/>
    <w:rsid w:val="00AA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A11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A11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A11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A11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A11E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A11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11EC"/>
  </w:style>
  <w:style w:type="table" w:customStyle="1" w:styleId="TableNormal">
    <w:name w:val="Table Normal"/>
    <w:rsid w:val="00AA11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1E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A11E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umspb.com/programme/business-programme/971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Company>Home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Елена Сергеевна</dc:creator>
  <cp:lastModifiedBy>ЕТокмакова</cp:lastModifiedBy>
  <cp:revision>2</cp:revision>
  <dcterms:created xsi:type="dcterms:W3CDTF">2022-06-20T06:30:00Z</dcterms:created>
  <dcterms:modified xsi:type="dcterms:W3CDTF">2022-06-20T06:30:00Z</dcterms:modified>
</cp:coreProperties>
</file>