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A98" w:rsidRDefault="00CD212A" w:rsidP="00A144F5">
      <w:pPr>
        <w:pStyle w:val="2"/>
        <w:spacing w:after="120" w:line="240" w:lineRule="auto"/>
        <w:ind w:firstLine="0"/>
        <w:jc w:val="center"/>
        <w:rPr>
          <w:b/>
        </w:rPr>
      </w:pPr>
      <w:r>
        <w:rPr>
          <w:b/>
        </w:rPr>
        <w:t xml:space="preserve">О </w:t>
      </w:r>
      <w:r w:rsidR="001F7A98" w:rsidRPr="00D02F6F">
        <w:rPr>
          <w:b/>
        </w:rPr>
        <w:t>новаци</w:t>
      </w:r>
      <w:r>
        <w:rPr>
          <w:b/>
        </w:rPr>
        <w:t>ях</w:t>
      </w:r>
      <w:r w:rsidR="001F7A98" w:rsidRPr="00D02F6F">
        <w:rPr>
          <w:b/>
        </w:rPr>
        <w:t xml:space="preserve"> в сфере налогового и таможенного регулирования для </w:t>
      </w:r>
      <w:r w:rsidR="001F7A98" w:rsidRPr="00A144F5">
        <w:rPr>
          <w:b/>
        </w:rPr>
        <w:t>поддержки</w:t>
      </w:r>
      <w:r w:rsidR="001F7A98" w:rsidRPr="00D02F6F">
        <w:rPr>
          <w:b/>
        </w:rPr>
        <w:t xml:space="preserve"> бизнеса и населения в условиях санкций</w:t>
      </w:r>
    </w:p>
    <w:p w:rsidR="00BA1DC2" w:rsidRPr="00D02F6F" w:rsidRDefault="00BA1DC2" w:rsidP="00A144F5">
      <w:pPr>
        <w:pStyle w:val="2"/>
        <w:spacing w:after="120" w:line="240" w:lineRule="auto"/>
        <w:ind w:firstLine="0"/>
        <w:jc w:val="center"/>
        <w:rPr>
          <w:b/>
        </w:rPr>
      </w:pPr>
    </w:p>
    <w:p w:rsidR="00DC42B6" w:rsidRPr="00DC42B6" w:rsidRDefault="004D03C2" w:rsidP="00A144F5">
      <w:pPr>
        <w:pStyle w:val="2"/>
        <w:spacing w:line="276" w:lineRule="auto"/>
      </w:pPr>
      <w:r>
        <w:t xml:space="preserve">Правительство РФ одобрило ряд законопроектов Минфина России о внесении изменений в налоговое и таможенное законодательства, которыми предусмотрены </w:t>
      </w:r>
      <w:r w:rsidR="00797891">
        <w:t xml:space="preserve">дополнительные </w:t>
      </w:r>
      <w:r>
        <w:t>меры поддержки граждан и бизнеса</w:t>
      </w:r>
      <w:r w:rsidR="00F73ADE">
        <w:t xml:space="preserve"> в условиях внешних ограничений</w:t>
      </w:r>
      <w:r>
        <w:t>.</w:t>
      </w:r>
      <w:r w:rsidR="00DC42B6">
        <w:t xml:space="preserve"> </w:t>
      </w:r>
    </w:p>
    <w:p w:rsidR="00DC42B6" w:rsidRDefault="00A144F5" w:rsidP="00A144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одобрен</w:t>
      </w:r>
      <w:r w:rsidR="00DC42B6">
        <w:rPr>
          <w:rFonts w:ascii="Times New Roman" w:hAnsi="Times New Roman" w:cs="Times New Roman"/>
          <w:sz w:val="28"/>
          <w:szCs w:val="28"/>
        </w:rPr>
        <w:t xml:space="preserve"> ряд новаций в налоговой сфере, среди которых снижение налоговой нагрузки для граждан в части налогообложения </w:t>
      </w:r>
      <w:r>
        <w:rPr>
          <w:rFonts w:ascii="Times New Roman" w:hAnsi="Times New Roman" w:cs="Times New Roman"/>
          <w:sz w:val="28"/>
          <w:szCs w:val="28"/>
        </w:rPr>
        <w:t>процентных доходов по вкладам</w:t>
      </w:r>
      <w:r w:rsidR="00DC42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транспортного налога, а также стимулирования отдельных отраслей экономики, в частности гостиничного бизнеса и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A14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отрасли и др.  </w:t>
      </w:r>
      <w:r w:rsidR="00DC4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A98" w:rsidRDefault="00A144F5" w:rsidP="00A144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сфере таможенного регулирования </w:t>
      </w:r>
      <w:r w:rsidR="001F7A98" w:rsidRPr="00886E02">
        <w:rPr>
          <w:rFonts w:ascii="Times New Roman" w:hAnsi="Times New Roman" w:cs="Times New Roman"/>
          <w:sz w:val="28"/>
          <w:szCs w:val="28"/>
        </w:rPr>
        <w:t>предусматрива</w:t>
      </w:r>
      <w:r w:rsidR="001F7A98">
        <w:rPr>
          <w:rFonts w:ascii="Times New Roman" w:hAnsi="Times New Roman" w:cs="Times New Roman"/>
          <w:sz w:val="28"/>
          <w:szCs w:val="28"/>
        </w:rPr>
        <w:t>ется</w:t>
      </w:r>
      <w:r w:rsidR="001F7A98" w:rsidRPr="00886E02">
        <w:rPr>
          <w:rFonts w:ascii="Times New Roman" w:hAnsi="Times New Roman" w:cs="Times New Roman"/>
          <w:sz w:val="28"/>
          <w:szCs w:val="28"/>
        </w:rPr>
        <w:t xml:space="preserve"> упрощени</w:t>
      </w:r>
      <w:r w:rsidR="001F7A98">
        <w:rPr>
          <w:rFonts w:ascii="Times New Roman" w:hAnsi="Times New Roman" w:cs="Times New Roman"/>
          <w:sz w:val="28"/>
          <w:szCs w:val="28"/>
        </w:rPr>
        <w:t>е</w:t>
      </w:r>
      <w:r w:rsidR="001F7A98" w:rsidRPr="00886E02">
        <w:rPr>
          <w:rFonts w:ascii="Times New Roman" w:hAnsi="Times New Roman" w:cs="Times New Roman"/>
          <w:sz w:val="28"/>
          <w:szCs w:val="28"/>
        </w:rPr>
        <w:t xml:space="preserve"> </w:t>
      </w:r>
      <w:r w:rsidR="00F73ADE">
        <w:rPr>
          <w:rFonts w:ascii="Times New Roman" w:hAnsi="Times New Roman" w:cs="Times New Roman"/>
          <w:sz w:val="28"/>
          <w:szCs w:val="28"/>
        </w:rPr>
        <w:t>ввоза товаров</w:t>
      </w:r>
      <w:r w:rsidR="001F7A98" w:rsidRPr="00886E02">
        <w:rPr>
          <w:rFonts w:ascii="Times New Roman" w:hAnsi="Times New Roman" w:cs="Times New Roman"/>
          <w:sz w:val="28"/>
          <w:szCs w:val="28"/>
        </w:rPr>
        <w:t xml:space="preserve"> </w:t>
      </w:r>
      <w:r w:rsidR="001F7A98">
        <w:rPr>
          <w:rFonts w:ascii="Times New Roman" w:hAnsi="Times New Roman" w:cs="Times New Roman"/>
          <w:sz w:val="28"/>
          <w:szCs w:val="28"/>
        </w:rPr>
        <w:t xml:space="preserve">в </w:t>
      </w:r>
      <w:r w:rsidR="001F7A98" w:rsidRPr="00886E02">
        <w:rPr>
          <w:rFonts w:ascii="Times New Roman" w:hAnsi="Times New Roman" w:cs="Times New Roman"/>
          <w:sz w:val="28"/>
          <w:szCs w:val="28"/>
        </w:rPr>
        <w:t>Росси</w:t>
      </w:r>
      <w:r w:rsidR="001F7A98">
        <w:rPr>
          <w:rFonts w:ascii="Times New Roman" w:hAnsi="Times New Roman" w:cs="Times New Roman"/>
          <w:sz w:val="28"/>
          <w:szCs w:val="28"/>
        </w:rPr>
        <w:t>ю и</w:t>
      </w:r>
      <w:r w:rsidR="001F7A98" w:rsidRPr="00886E02">
        <w:rPr>
          <w:rFonts w:ascii="Times New Roman" w:hAnsi="Times New Roman" w:cs="Times New Roman"/>
          <w:sz w:val="28"/>
          <w:szCs w:val="28"/>
        </w:rPr>
        <w:t xml:space="preserve"> </w:t>
      </w:r>
      <w:r w:rsidR="001F7A98">
        <w:rPr>
          <w:rFonts w:ascii="Times New Roman" w:hAnsi="Times New Roman" w:cs="Times New Roman"/>
          <w:sz w:val="28"/>
          <w:szCs w:val="28"/>
        </w:rPr>
        <w:t xml:space="preserve">на </w:t>
      </w:r>
      <w:r w:rsidR="001F7A98" w:rsidRPr="00886E02">
        <w:rPr>
          <w:rFonts w:ascii="Times New Roman" w:hAnsi="Times New Roman" w:cs="Times New Roman"/>
          <w:sz w:val="28"/>
          <w:szCs w:val="28"/>
        </w:rPr>
        <w:t>таможенную территорию Евразийского экономического союза</w:t>
      </w:r>
      <w:r w:rsidR="001F7A98">
        <w:rPr>
          <w:rFonts w:ascii="Times New Roman" w:hAnsi="Times New Roman" w:cs="Times New Roman"/>
          <w:sz w:val="28"/>
          <w:szCs w:val="28"/>
        </w:rPr>
        <w:t xml:space="preserve"> </w:t>
      </w:r>
      <w:r w:rsidR="001F7A98" w:rsidRPr="005D2E6C">
        <w:rPr>
          <w:rFonts w:ascii="Times New Roman" w:hAnsi="Times New Roman" w:cs="Times New Roman"/>
          <w:sz w:val="28"/>
          <w:szCs w:val="28"/>
        </w:rPr>
        <w:t>для поддержки участников внешнеэкономической деятельности</w:t>
      </w:r>
      <w:r w:rsidR="001F7A98" w:rsidRPr="00886E02">
        <w:rPr>
          <w:rFonts w:ascii="Times New Roman" w:hAnsi="Times New Roman" w:cs="Times New Roman"/>
          <w:sz w:val="28"/>
          <w:szCs w:val="28"/>
        </w:rPr>
        <w:t>.</w:t>
      </w:r>
    </w:p>
    <w:p w:rsidR="001F7A98" w:rsidRPr="004D03C2" w:rsidRDefault="00DC42B6" w:rsidP="00A144F5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8F5A35" w:rsidRPr="004D03C2">
        <w:rPr>
          <w:rFonts w:ascii="Times New Roman" w:hAnsi="Times New Roman" w:cs="Times New Roman"/>
          <w:sz w:val="28"/>
          <w:szCs w:val="28"/>
        </w:rPr>
        <w:t xml:space="preserve">одобрен законопроект о совершенствовании налогового режима в </w:t>
      </w:r>
      <w:r w:rsidR="00A144F5" w:rsidRPr="00A144F5">
        <w:rPr>
          <w:rFonts w:ascii="Times New Roman" w:hAnsi="Times New Roman" w:cs="Times New Roman"/>
          <w:sz w:val="28"/>
          <w:szCs w:val="28"/>
        </w:rPr>
        <w:t>специальных административных районах (САР)</w:t>
      </w:r>
      <w:r w:rsidR="008F5A35" w:rsidRPr="004D03C2">
        <w:rPr>
          <w:rFonts w:ascii="Times New Roman" w:hAnsi="Times New Roman" w:cs="Times New Roman"/>
          <w:sz w:val="28"/>
          <w:szCs w:val="28"/>
        </w:rPr>
        <w:t xml:space="preserve">, что позволит повысить привлекательность этих районов и </w:t>
      </w:r>
      <w:r w:rsidR="00553B0D" w:rsidRPr="004D03C2">
        <w:rPr>
          <w:rFonts w:ascii="Times New Roman" w:hAnsi="Times New Roman" w:cs="Times New Roman"/>
          <w:sz w:val="28"/>
          <w:szCs w:val="28"/>
        </w:rPr>
        <w:t>упростить</w:t>
      </w:r>
      <w:r w:rsidR="008F5A35" w:rsidRPr="004D03C2">
        <w:rPr>
          <w:rFonts w:ascii="Times New Roman" w:hAnsi="Times New Roman" w:cs="Times New Roman"/>
          <w:sz w:val="28"/>
          <w:szCs w:val="28"/>
        </w:rPr>
        <w:t xml:space="preserve"> </w:t>
      </w:r>
      <w:r w:rsidR="00187F1D" w:rsidRPr="004D03C2">
        <w:rPr>
          <w:rFonts w:ascii="Times New Roman" w:hAnsi="Times New Roman" w:cs="Times New Roman"/>
          <w:sz w:val="28"/>
          <w:szCs w:val="28"/>
        </w:rPr>
        <w:t>перевод</w:t>
      </w:r>
      <w:r w:rsidR="008F5A35" w:rsidRPr="004D03C2">
        <w:rPr>
          <w:rFonts w:ascii="Times New Roman" w:hAnsi="Times New Roman" w:cs="Times New Roman"/>
          <w:sz w:val="28"/>
          <w:szCs w:val="28"/>
        </w:rPr>
        <w:t xml:space="preserve"> бизнеса в </w:t>
      </w:r>
      <w:r w:rsidR="00F73ADE">
        <w:rPr>
          <w:rFonts w:ascii="Times New Roman" w:hAnsi="Times New Roman" w:cs="Times New Roman"/>
          <w:sz w:val="28"/>
          <w:szCs w:val="28"/>
        </w:rPr>
        <w:t>такие районы</w:t>
      </w:r>
      <w:r w:rsidR="008F5A35" w:rsidRPr="004D03C2">
        <w:rPr>
          <w:rFonts w:ascii="Times New Roman" w:hAnsi="Times New Roman" w:cs="Times New Roman"/>
          <w:sz w:val="28"/>
          <w:szCs w:val="28"/>
        </w:rPr>
        <w:t xml:space="preserve">, что особенно важно в текущей ситуации. </w:t>
      </w:r>
      <w:r w:rsidR="00187F1D" w:rsidRPr="004D03C2">
        <w:rPr>
          <w:rFonts w:ascii="Times New Roman" w:hAnsi="Times New Roman" w:cs="Times New Roman"/>
          <w:sz w:val="28"/>
          <w:szCs w:val="28"/>
        </w:rPr>
        <w:t>Предложенные новации предусматривают смягчение критериев для организаци</w:t>
      </w:r>
      <w:r w:rsidR="00F73ADE">
        <w:rPr>
          <w:rFonts w:ascii="Times New Roman" w:hAnsi="Times New Roman" w:cs="Times New Roman"/>
          <w:sz w:val="28"/>
          <w:szCs w:val="28"/>
        </w:rPr>
        <w:t>й в части получения статуса МХК</w:t>
      </w:r>
      <w:r w:rsidR="00187F1D" w:rsidRPr="004D03C2">
        <w:rPr>
          <w:rFonts w:ascii="Times New Roman" w:hAnsi="Times New Roman" w:cs="Times New Roman"/>
          <w:sz w:val="28"/>
          <w:szCs w:val="28"/>
        </w:rPr>
        <w:t xml:space="preserve">, а также улучшение налоговых условий для МХК. </w:t>
      </w:r>
    </w:p>
    <w:p w:rsidR="00D02F6F" w:rsidRDefault="00D02F6F" w:rsidP="00A144F5">
      <w:pPr>
        <w:pStyle w:val="2"/>
        <w:spacing w:line="276" w:lineRule="auto"/>
        <w:rPr>
          <w:b/>
          <w:bCs/>
        </w:rPr>
      </w:pPr>
      <w:r w:rsidRPr="004D03C2">
        <w:rPr>
          <w:b/>
          <w:bCs/>
        </w:rPr>
        <w:t>Новации в сфере налогового регулирования:</w:t>
      </w:r>
    </w:p>
    <w:p w:rsidR="00112258" w:rsidRPr="00C43DC4" w:rsidRDefault="00112258" w:rsidP="00797891">
      <w:pPr>
        <w:pStyle w:val="a5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3DC4">
        <w:rPr>
          <w:rFonts w:ascii="Times New Roman" w:hAnsi="Times New Roman" w:cs="Times New Roman"/>
          <w:sz w:val="28"/>
          <w:szCs w:val="28"/>
        </w:rPr>
        <w:t xml:space="preserve">Граждане будут освобождены от уплаты налога с процентных доходов по вкладам в банках за 2021 и 2022 годы, который подлежал бы уплате в 2022 и 2023 годах соответственно. </w:t>
      </w:r>
    </w:p>
    <w:p w:rsidR="00112258" w:rsidRPr="00797891" w:rsidRDefault="00112258" w:rsidP="00797891">
      <w:pPr>
        <w:pStyle w:val="2"/>
        <w:numPr>
          <w:ilvl w:val="0"/>
          <w:numId w:val="3"/>
        </w:numPr>
        <w:spacing w:after="120" w:line="276" w:lineRule="auto"/>
        <w:ind w:left="426" w:hanging="426"/>
      </w:pPr>
      <w:r w:rsidRPr="00C43DC4">
        <w:t xml:space="preserve">Кроме того, вносятся системные изменения в правила налогообложения процентных доходов по вкладам в банках, которые распространятся на будущие налоговые периоды после 2022 года. При расчете НДФЛ процентный доход по вкладам будет уменьшаться на сумму процентов, определенную как произведение 1 млн рублей и максимального значения ключевой ставки ЦБ из действовавших в налоговом периоде </w:t>
      </w:r>
      <w:r w:rsidRPr="00C43DC4">
        <w:rPr>
          <w:i/>
        </w:rPr>
        <w:t>(а не на ключевую ставку Банка России, установленную на первое число налогового периода)</w:t>
      </w:r>
      <w:r w:rsidRPr="00C43DC4">
        <w:t>. Это позволит учесть при расчете налога на процентный доход увеличение ключевой ставки ЦБ в течение года, тем самым снижая размер налога.</w:t>
      </w:r>
    </w:p>
    <w:p w:rsidR="00112258" w:rsidRPr="00C43DC4" w:rsidRDefault="006772B6" w:rsidP="00797891">
      <w:pPr>
        <w:pStyle w:val="a5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лица</w:t>
      </w:r>
      <w:r w:rsidR="00112258" w:rsidRPr="00C43DC4">
        <w:rPr>
          <w:rFonts w:ascii="Times New Roman" w:hAnsi="Times New Roman" w:cs="Times New Roman"/>
          <w:sz w:val="28"/>
          <w:szCs w:val="28"/>
        </w:rPr>
        <w:t xml:space="preserve"> </w:t>
      </w:r>
      <w:r w:rsidR="00C43DC4" w:rsidRPr="00C43DC4">
        <w:rPr>
          <w:rFonts w:ascii="Times New Roman" w:hAnsi="Times New Roman" w:cs="Times New Roman"/>
          <w:sz w:val="28"/>
          <w:szCs w:val="28"/>
        </w:rPr>
        <w:t xml:space="preserve">освобождаются </w:t>
      </w:r>
      <w:r w:rsidR="00112258" w:rsidRPr="00C43DC4">
        <w:rPr>
          <w:rFonts w:ascii="Times New Roman" w:hAnsi="Times New Roman" w:cs="Times New Roman"/>
          <w:sz w:val="28"/>
          <w:szCs w:val="28"/>
        </w:rPr>
        <w:t>от уплаты НДФЛ с материальной выгоды</w:t>
      </w:r>
      <w:r w:rsidRPr="006772B6">
        <w:rPr>
          <w:rFonts w:ascii="Times New Roman" w:hAnsi="Times New Roman" w:cs="Times New Roman"/>
          <w:sz w:val="28"/>
          <w:szCs w:val="28"/>
        </w:rPr>
        <w:t xml:space="preserve"> от экономии на процентах за пользование заемными (кредитными) средствами в 2022 и 2023 годах</w:t>
      </w:r>
      <w:r w:rsidR="00F73ADE">
        <w:rPr>
          <w:rFonts w:ascii="Times New Roman" w:hAnsi="Times New Roman" w:cs="Times New Roman"/>
          <w:sz w:val="28"/>
          <w:szCs w:val="28"/>
        </w:rPr>
        <w:t>.</w:t>
      </w:r>
      <w:r w:rsidR="00112258" w:rsidRPr="00C43DC4">
        <w:rPr>
          <w:rFonts w:ascii="Times New Roman" w:hAnsi="Times New Roman" w:cs="Times New Roman"/>
          <w:sz w:val="28"/>
          <w:szCs w:val="28"/>
        </w:rPr>
        <w:t xml:space="preserve"> Это позволит избежать дополнительной </w:t>
      </w:r>
      <w:r w:rsidR="00112258" w:rsidRPr="00C43DC4">
        <w:rPr>
          <w:rFonts w:ascii="Times New Roman" w:hAnsi="Times New Roman" w:cs="Times New Roman"/>
          <w:sz w:val="28"/>
          <w:szCs w:val="28"/>
        </w:rPr>
        <w:lastRenderedPageBreak/>
        <w:t>налоговой нагрузки на работников организаций в связи с существенным повышением ключевой ставки Банка России. </w:t>
      </w:r>
    </w:p>
    <w:p w:rsidR="00C43DC4" w:rsidRPr="00C43DC4" w:rsidRDefault="00F73ADE" w:rsidP="00797891">
      <w:pPr>
        <w:pStyle w:val="a5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 2022 года п</w:t>
      </w:r>
      <w:r w:rsidR="006772B6">
        <w:rPr>
          <w:rFonts w:ascii="Times New Roman" w:hAnsi="Times New Roman" w:cs="Times New Roman"/>
          <w:sz w:val="28"/>
          <w:szCs w:val="28"/>
        </w:rPr>
        <w:t>овышенное налогообложение</w:t>
      </w:r>
      <w:r w:rsidR="00C43DC4" w:rsidRPr="00C43DC4">
        <w:rPr>
          <w:rFonts w:ascii="Times New Roman" w:hAnsi="Times New Roman" w:cs="Times New Roman"/>
          <w:sz w:val="28"/>
          <w:szCs w:val="28"/>
        </w:rPr>
        <w:t xml:space="preserve"> по транспортному налогу будет применяться только для транспортных </w:t>
      </w:r>
      <w:r>
        <w:rPr>
          <w:rFonts w:ascii="Times New Roman" w:hAnsi="Times New Roman" w:cs="Times New Roman"/>
          <w:sz w:val="28"/>
          <w:szCs w:val="28"/>
        </w:rPr>
        <w:t>средств стоимостью свыше 10 млн</w:t>
      </w:r>
      <w:r w:rsidR="00C43DC4" w:rsidRPr="00C43DC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43DC4" w:rsidRPr="00C43DC4" w:rsidRDefault="00C43DC4" w:rsidP="00797891">
      <w:pPr>
        <w:pStyle w:val="a5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3DC4">
        <w:rPr>
          <w:rFonts w:ascii="Times New Roman" w:hAnsi="Times New Roman" w:cs="Times New Roman"/>
          <w:sz w:val="28"/>
          <w:szCs w:val="28"/>
        </w:rPr>
        <w:t xml:space="preserve">Для организаций </w:t>
      </w:r>
      <w:r w:rsidRPr="00C43DC4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C43DC4">
        <w:rPr>
          <w:rFonts w:ascii="Times New Roman" w:hAnsi="Times New Roman" w:cs="Times New Roman"/>
          <w:sz w:val="28"/>
          <w:szCs w:val="28"/>
        </w:rPr>
        <w:t>-отрасли на 2022-2024 годы устанавливается ставка налога на прибыль организаций в размере 0%.</w:t>
      </w:r>
    </w:p>
    <w:p w:rsidR="00C43DC4" w:rsidRPr="00C43DC4" w:rsidRDefault="00C43DC4" w:rsidP="00797891">
      <w:pPr>
        <w:pStyle w:val="a5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3DC4">
        <w:rPr>
          <w:rFonts w:ascii="Times New Roman" w:hAnsi="Times New Roman" w:cs="Times New Roman"/>
          <w:sz w:val="28"/>
          <w:szCs w:val="28"/>
        </w:rPr>
        <w:t>В рамках поддержки туриндустрии и гостиничного бизнеса сроком на 5 лет устанавливается ставка 0% по НДС на услуги по предоставлению мест для временного проживания в гостиницах и иных средствах размещения.</w:t>
      </w:r>
    </w:p>
    <w:p w:rsidR="00C43DC4" w:rsidRPr="00C43DC4" w:rsidRDefault="00C43DC4" w:rsidP="00797891">
      <w:pPr>
        <w:pStyle w:val="a5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3DC4">
        <w:rPr>
          <w:rFonts w:ascii="Times New Roman" w:hAnsi="Times New Roman" w:cs="Times New Roman"/>
          <w:sz w:val="28"/>
          <w:szCs w:val="28"/>
        </w:rPr>
        <w:t>Также на 20 последовательных налоговых периодов устанавливается нулевая ставка НДС на услуги по предоставлению в аренду</w:t>
      </w:r>
      <w:r w:rsidR="006772B6">
        <w:rPr>
          <w:rFonts w:ascii="Times New Roman" w:hAnsi="Times New Roman" w:cs="Times New Roman"/>
          <w:sz w:val="28"/>
          <w:szCs w:val="28"/>
        </w:rPr>
        <w:t xml:space="preserve"> и пользованию</w:t>
      </w:r>
      <w:r w:rsidRPr="00C43DC4">
        <w:rPr>
          <w:rFonts w:ascii="Times New Roman" w:hAnsi="Times New Roman" w:cs="Times New Roman"/>
          <w:sz w:val="28"/>
          <w:szCs w:val="28"/>
        </w:rPr>
        <w:t>, объект</w:t>
      </w:r>
      <w:r w:rsidR="006772B6">
        <w:rPr>
          <w:rFonts w:ascii="Times New Roman" w:hAnsi="Times New Roman" w:cs="Times New Roman"/>
          <w:sz w:val="28"/>
          <w:szCs w:val="28"/>
        </w:rPr>
        <w:t>ов</w:t>
      </w:r>
      <w:r w:rsidRPr="00C43DC4">
        <w:rPr>
          <w:rFonts w:ascii="Times New Roman" w:hAnsi="Times New Roman" w:cs="Times New Roman"/>
          <w:sz w:val="28"/>
          <w:szCs w:val="28"/>
        </w:rPr>
        <w:t xml:space="preserve"> туристской индустрии, введенного в эксплуатацию после 1 января 2022 года</w:t>
      </w:r>
      <w:r w:rsidR="006772B6">
        <w:rPr>
          <w:rFonts w:ascii="Times New Roman" w:hAnsi="Times New Roman" w:cs="Times New Roman"/>
          <w:sz w:val="28"/>
          <w:szCs w:val="28"/>
        </w:rPr>
        <w:t xml:space="preserve"> и включенного в соответствующий реестр</w:t>
      </w:r>
      <w:r w:rsidRPr="00C43DC4">
        <w:rPr>
          <w:rFonts w:ascii="Times New Roman" w:hAnsi="Times New Roman" w:cs="Times New Roman"/>
          <w:sz w:val="28"/>
          <w:szCs w:val="28"/>
        </w:rPr>
        <w:t>.</w:t>
      </w:r>
    </w:p>
    <w:p w:rsidR="00C43DC4" w:rsidRPr="00C43DC4" w:rsidRDefault="00C43DC4" w:rsidP="00797891">
      <w:pPr>
        <w:pStyle w:val="a5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3DC4">
        <w:rPr>
          <w:rFonts w:ascii="Times New Roman" w:hAnsi="Times New Roman" w:cs="Times New Roman"/>
          <w:sz w:val="28"/>
          <w:szCs w:val="28"/>
        </w:rPr>
        <w:t>Для организаций предусма</w:t>
      </w:r>
      <w:r w:rsidR="006772B6">
        <w:rPr>
          <w:rFonts w:ascii="Times New Roman" w:hAnsi="Times New Roman" w:cs="Times New Roman"/>
          <w:sz w:val="28"/>
          <w:szCs w:val="28"/>
        </w:rPr>
        <w:t xml:space="preserve">тривается отказ от применения в </w:t>
      </w:r>
      <w:r w:rsidRPr="00C43DC4">
        <w:rPr>
          <w:rFonts w:ascii="Times New Roman" w:hAnsi="Times New Roman" w:cs="Times New Roman"/>
          <w:sz w:val="28"/>
          <w:szCs w:val="28"/>
        </w:rPr>
        <w:t>2022 и 2023 годах нормы о повышенном размере пени при просрочке исполнения обязанности по уплате налога.</w:t>
      </w:r>
    </w:p>
    <w:p w:rsidR="00C43DC4" w:rsidRPr="00C43DC4" w:rsidRDefault="00C43DC4" w:rsidP="00797891">
      <w:pPr>
        <w:pStyle w:val="a5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3DC4">
        <w:rPr>
          <w:rFonts w:ascii="Times New Roman" w:hAnsi="Times New Roman" w:cs="Times New Roman"/>
          <w:sz w:val="28"/>
          <w:szCs w:val="28"/>
        </w:rPr>
        <w:t>Фиксируется по состоянию на 1 февраля 2022 года курс иностранной валюты для расчета «тонкой капитализации».</w:t>
      </w:r>
    </w:p>
    <w:p w:rsidR="00C43DC4" w:rsidRPr="00C43DC4" w:rsidRDefault="00C43DC4" w:rsidP="00797891">
      <w:pPr>
        <w:pStyle w:val="a5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3DC4">
        <w:rPr>
          <w:rFonts w:ascii="Times New Roman" w:hAnsi="Times New Roman" w:cs="Times New Roman"/>
          <w:sz w:val="28"/>
          <w:szCs w:val="28"/>
        </w:rPr>
        <w:t xml:space="preserve">Предоставляется право перейти на уплату ежемесячных авансов по налогу на прибыль организаций исходя из фактической прибыли; </w:t>
      </w:r>
    </w:p>
    <w:p w:rsidR="00C43DC4" w:rsidRPr="00C43DC4" w:rsidRDefault="00C43DC4" w:rsidP="00797891">
      <w:pPr>
        <w:pStyle w:val="a5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3DC4">
        <w:rPr>
          <w:rFonts w:ascii="Times New Roman" w:hAnsi="Times New Roman" w:cs="Times New Roman"/>
          <w:sz w:val="28"/>
          <w:szCs w:val="28"/>
        </w:rPr>
        <w:t>Расширяется «безопасный» интервал для учета в расходах процентов по долговым обязательствам.</w:t>
      </w:r>
    </w:p>
    <w:p w:rsidR="00187F1D" w:rsidRPr="00C43DC4" w:rsidRDefault="00C43DC4" w:rsidP="00797891">
      <w:pPr>
        <w:pStyle w:val="a5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3DC4">
        <w:rPr>
          <w:rFonts w:ascii="Times New Roman" w:hAnsi="Times New Roman" w:cs="Times New Roman"/>
          <w:sz w:val="28"/>
          <w:szCs w:val="28"/>
        </w:rPr>
        <w:t>По налогу на имущество организаций для расчета налоговых обязательств в 2023 году кадастровая стоимость объектов недвижимости будет зафиксирована на уровне 1 января 2022 года.</w:t>
      </w:r>
    </w:p>
    <w:p w:rsidR="001F7A98" w:rsidRPr="001F7A98" w:rsidRDefault="001F7A98" w:rsidP="00A144F5">
      <w:pPr>
        <w:pStyle w:val="2"/>
        <w:spacing w:line="276" w:lineRule="auto"/>
        <w:rPr>
          <w:b/>
          <w:bCs/>
        </w:rPr>
      </w:pPr>
      <w:r w:rsidRPr="001F7A98">
        <w:rPr>
          <w:b/>
          <w:bCs/>
        </w:rPr>
        <w:t>Новации в сфере таможенного регулирования</w:t>
      </w:r>
      <w:r w:rsidR="00C43DC4">
        <w:rPr>
          <w:b/>
          <w:bCs/>
        </w:rPr>
        <w:t xml:space="preserve"> и алкогольного рынка</w:t>
      </w:r>
      <w:r w:rsidRPr="001F7A98">
        <w:rPr>
          <w:b/>
          <w:bCs/>
        </w:rPr>
        <w:t>:</w:t>
      </w:r>
    </w:p>
    <w:p w:rsidR="001F7A98" w:rsidRPr="00C43DC4" w:rsidRDefault="001F7A98" w:rsidP="00797891">
      <w:pPr>
        <w:pStyle w:val="2"/>
        <w:numPr>
          <w:ilvl w:val="0"/>
          <w:numId w:val="2"/>
        </w:numPr>
        <w:spacing w:after="120" w:line="276" w:lineRule="auto"/>
        <w:ind w:left="426" w:hanging="426"/>
      </w:pPr>
      <w:r w:rsidRPr="00C43DC4">
        <w:t>на 6 лет предоставляется право ввозить многокомпонентный товар в рамках нескольких внешнеэкономических сделок;</w:t>
      </w:r>
    </w:p>
    <w:p w:rsidR="001F7A98" w:rsidRPr="00C43DC4" w:rsidRDefault="001F7A98" w:rsidP="00797891">
      <w:pPr>
        <w:pStyle w:val="2"/>
        <w:numPr>
          <w:ilvl w:val="0"/>
          <w:numId w:val="2"/>
        </w:numPr>
        <w:spacing w:after="120" w:line="276" w:lineRule="auto"/>
        <w:ind w:left="426" w:hanging="426"/>
      </w:pPr>
      <w:r w:rsidRPr="00C43DC4">
        <w:t>исключается необходимость предоставлять обеспечение исполнения обязанности по уплате таможенных пошлин и налогов для участников ВЭД, осуществляющих свою деятельность менее года;</w:t>
      </w:r>
    </w:p>
    <w:p w:rsidR="001F7A98" w:rsidRPr="00C43DC4" w:rsidRDefault="001F7A98" w:rsidP="00797891">
      <w:pPr>
        <w:pStyle w:val="2"/>
        <w:numPr>
          <w:ilvl w:val="0"/>
          <w:numId w:val="2"/>
        </w:numPr>
        <w:spacing w:after="120" w:line="276" w:lineRule="auto"/>
        <w:ind w:left="426" w:hanging="426"/>
      </w:pPr>
      <w:r w:rsidRPr="00C43DC4">
        <w:t>участники ВЭД, внесшие залог при выпуске товаров, освобождаются от уплаты пени при доначислении таможенным органом платежей по результатам экспертизы;</w:t>
      </w:r>
    </w:p>
    <w:p w:rsidR="001F7A98" w:rsidRPr="00C43DC4" w:rsidRDefault="001F7A98" w:rsidP="00797891">
      <w:pPr>
        <w:pStyle w:val="2"/>
        <w:numPr>
          <w:ilvl w:val="0"/>
          <w:numId w:val="2"/>
        </w:numPr>
        <w:spacing w:after="120" w:line="276" w:lineRule="auto"/>
        <w:ind w:left="426" w:hanging="426"/>
      </w:pPr>
      <w:r w:rsidRPr="00C43DC4">
        <w:lastRenderedPageBreak/>
        <w:t>сокращается процедура выдачи таможенными органами классификационных решений;</w:t>
      </w:r>
    </w:p>
    <w:p w:rsidR="001F7A98" w:rsidRPr="00886E02" w:rsidRDefault="001F7A98" w:rsidP="00797891">
      <w:pPr>
        <w:pStyle w:val="2"/>
        <w:numPr>
          <w:ilvl w:val="0"/>
          <w:numId w:val="2"/>
        </w:numPr>
        <w:spacing w:after="120" w:line="276" w:lineRule="auto"/>
        <w:ind w:left="426" w:hanging="426"/>
      </w:pPr>
      <w:r w:rsidRPr="00886E02">
        <w:t>предлагается расшир</w:t>
      </w:r>
      <w:r>
        <w:t>ить</w:t>
      </w:r>
      <w:r w:rsidRPr="00886E02">
        <w:t xml:space="preserve"> эксперимент по маркировке </w:t>
      </w:r>
      <w:r>
        <w:t>импортируемого алкоголя, запущенный в Калининграде, предоставив</w:t>
      </w:r>
      <w:r w:rsidRPr="00886E02">
        <w:t xml:space="preserve"> прав</w:t>
      </w:r>
      <w:r>
        <w:t>о</w:t>
      </w:r>
      <w:r w:rsidRPr="00886E02">
        <w:t xml:space="preserve"> Правительств</w:t>
      </w:r>
      <w:r>
        <w:t>у</w:t>
      </w:r>
      <w:r w:rsidRPr="00886E02">
        <w:t xml:space="preserve"> Российской Федерации определять территории, на которых проводится такой эксперимент. Также предусматривается продление срока эксперимента до 31 мая 2024 года</w:t>
      </w:r>
      <w:r w:rsidR="00C43DC4">
        <w:t>;</w:t>
      </w:r>
    </w:p>
    <w:p w:rsidR="001F7A98" w:rsidRPr="00886E02" w:rsidRDefault="001F7A98" w:rsidP="00797891">
      <w:pPr>
        <w:pStyle w:val="2"/>
        <w:numPr>
          <w:ilvl w:val="0"/>
          <w:numId w:val="2"/>
        </w:numPr>
        <w:spacing w:after="120" w:line="276" w:lineRule="auto"/>
        <w:ind w:left="426" w:hanging="426"/>
      </w:pPr>
      <w:r w:rsidRPr="00886E02">
        <w:t>с девяти до восемнадцати месяцев</w:t>
      </w:r>
      <w:r>
        <w:t xml:space="preserve"> увеличивается</w:t>
      </w:r>
      <w:r w:rsidRPr="00886E02">
        <w:t xml:space="preserve"> срок нанесения федеральных специальных марок и ввоза маркированно</w:t>
      </w:r>
      <w:r>
        <w:t>го</w:t>
      </w:r>
      <w:r w:rsidRPr="00886E02">
        <w:t xml:space="preserve"> алкогол</w:t>
      </w:r>
      <w:r>
        <w:t>я</w:t>
      </w:r>
      <w:r w:rsidRPr="00886E02">
        <w:t xml:space="preserve">, </w:t>
      </w:r>
      <w:r>
        <w:t>т</w:t>
      </w:r>
      <w:r w:rsidRPr="00886E02">
        <w:t>ак</w:t>
      </w:r>
      <w:r>
        <w:t>ие</w:t>
      </w:r>
      <w:r w:rsidRPr="00886E02">
        <w:t xml:space="preserve"> правила</w:t>
      </w:r>
      <w:r>
        <w:t xml:space="preserve"> будут действовать</w:t>
      </w:r>
      <w:r w:rsidRPr="00886E02">
        <w:t xml:space="preserve"> до 31 мая 2024 года</w:t>
      </w:r>
      <w:r w:rsidR="00C43DC4">
        <w:t>;</w:t>
      </w:r>
    </w:p>
    <w:p w:rsidR="001F7A98" w:rsidRPr="00886E02" w:rsidRDefault="001F7A98" w:rsidP="00797891">
      <w:pPr>
        <w:pStyle w:val="2"/>
        <w:numPr>
          <w:ilvl w:val="0"/>
          <w:numId w:val="2"/>
        </w:numPr>
        <w:spacing w:after="120" w:line="276" w:lineRule="auto"/>
        <w:ind w:left="426" w:hanging="426"/>
      </w:pPr>
      <w:r w:rsidRPr="00886E02">
        <w:t>до 31 декабря 2023 года</w:t>
      </w:r>
      <w:r>
        <w:t xml:space="preserve"> отменяется</w:t>
      </w:r>
      <w:r w:rsidRPr="00886E02">
        <w:t xml:space="preserve"> требовани</w:t>
      </w:r>
      <w:r>
        <w:t xml:space="preserve">е об отсутствии задолженности </w:t>
      </w:r>
      <w:r w:rsidRPr="00886E02">
        <w:t>по</w:t>
      </w:r>
      <w:r>
        <w:t xml:space="preserve"> налоговым, таможенным и другим обязательным платежам </w:t>
      </w:r>
      <w:r w:rsidRPr="00886E02">
        <w:t>для выдачи федеральных специальных марок.</w:t>
      </w:r>
    </w:p>
    <w:p w:rsidR="001F7A98" w:rsidRPr="00C43DC4" w:rsidRDefault="001F7A98" w:rsidP="00797891">
      <w:pPr>
        <w:pStyle w:val="2"/>
        <w:spacing w:after="120" w:line="276" w:lineRule="auto"/>
        <w:rPr>
          <w:bCs/>
        </w:rPr>
      </w:pPr>
      <w:r w:rsidRPr="00C43DC4">
        <w:rPr>
          <w:bCs/>
        </w:rPr>
        <w:t>Также Правительство Российской Федерации наделяется рядом полномочий:</w:t>
      </w:r>
    </w:p>
    <w:p w:rsidR="001F7A98" w:rsidRDefault="001F7A98" w:rsidP="00797891">
      <w:pPr>
        <w:pStyle w:val="2"/>
        <w:numPr>
          <w:ilvl w:val="0"/>
          <w:numId w:val="2"/>
        </w:numPr>
        <w:spacing w:after="120" w:line="276" w:lineRule="auto"/>
        <w:ind w:left="426" w:hanging="426"/>
      </w:pPr>
      <w:r w:rsidRPr="00886E02">
        <w:t>определ</w:t>
      </w:r>
      <w:r>
        <w:t>ять</w:t>
      </w:r>
      <w:r w:rsidRPr="00886E02">
        <w:t xml:space="preserve"> случа</w:t>
      </w:r>
      <w:r>
        <w:t>и и условия</w:t>
      </w:r>
      <w:r w:rsidRPr="00886E02">
        <w:t xml:space="preserve"> предоставления отсроч</w:t>
      </w:r>
      <w:r>
        <w:t xml:space="preserve">ек и </w:t>
      </w:r>
      <w:r w:rsidRPr="00886E02">
        <w:t>рассроч</w:t>
      </w:r>
      <w:r>
        <w:t>ек</w:t>
      </w:r>
      <w:r w:rsidRPr="00886E02">
        <w:t xml:space="preserve"> по уплате таможенных платежей</w:t>
      </w:r>
      <w:r>
        <w:t>;</w:t>
      </w:r>
    </w:p>
    <w:p w:rsidR="001F7A98" w:rsidRDefault="001F7A98" w:rsidP="00797891">
      <w:pPr>
        <w:pStyle w:val="2"/>
        <w:numPr>
          <w:ilvl w:val="0"/>
          <w:numId w:val="2"/>
        </w:numPr>
        <w:spacing w:after="120" w:line="276" w:lineRule="auto"/>
        <w:ind w:left="426" w:hanging="426"/>
      </w:pPr>
      <w:r>
        <w:t xml:space="preserve">устанавливать </w:t>
      </w:r>
      <w:r w:rsidRPr="00886E02">
        <w:t>случа</w:t>
      </w:r>
      <w:r>
        <w:t>и</w:t>
      </w:r>
      <w:r w:rsidRPr="00886E02">
        <w:t xml:space="preserve">, когда декларантом товаров, помещаемых под таможенную процедуру свободного склада, может выступать </w:t>
      </w:r>
      <w:r>
        <w:t xml:space="preserve">не владелец </w:t>
      </w:r>
      <w:r w:rsidRPr="00886E02">
        <w:t>свободного склада</w:t>
      </w:r>
      <w:r>
        <w:t>;</w:t>
      </w:r>
      <w:r w:rsidRPr="00886E02">
        <w:t xml:space="preserve"> </w:t>
      </w:r>
    </w:p>
    <w:p w:rsidR="001F7A98" w:rsidRDefault="001F7A98" w:rsidP="00797891">
      <w:pPr>
        <w:pStyle w:val="2"/>
        <w:numPr>
          <w:ilvl w:val="0"/>
          <w:numId w:val="2"/>
        </w:numPr>
        <w:spacing w:after="120" w:line="276" w:lineRule="auto"/>
        <w:ind w:left="426" w:hanging="426"/>
      </w:pPr>
      <w:r w:rsidRPr="00886E02">
        <w:t>определ</w:t>
      </w:r>
      <w:r>
        <w:t>ять</w:t>
      </w:r>
      <w:r w:rsidRPr="00886E02">
        <w:t xml:space="preserve"> инвестиционны</w:t>
      </w:r>
      <w:r>
        <w:t>е</w:t>
      </w:r>
      <w:r w:rsidRPr="00886E02">
        <w:t xml:space="preserve"> проект</w:t>
      </w:r>
      <w:r>
        <w:t>ы</w:t>
      </w:r>
      <w:r w:rsidRPr="00886E02">
        <w:t xml:space="preserve">, </w:t>
      </w:r>
      <w:r>
        <w:t>по</w:t>
      </w:r>
      <w:r w:rsidRPr="00886E02">
        <w:t xml:space="preserve"> которы</w:t>
      </w:r>
      <w:r>
        <w:t>м</w:t>
      </w:r>
      <w:r w:rsidRPr="00886E02">
        <w:t xml:space="preserve"> может применяться выпуск до подачи декларации на товары</w:t>
      </w:r>
      <w:r>
        <w:t>,</w:t>
      </w:r>
      <w:r w:rsidRPr="00886E02">
        <w:t xml:space="preserve"> </w:t>
      </w:r>
      <w:r>
        <w:t>а также</w:t>
      </w:r>
      <w:r w:rsidRPr="00886E02">
        <w:t xml:space="preserve"> приоритетных видов деятельности для реализации инвестиционных проектов, </w:t>
      </w:r>
      <w:r>
        <w:t>по</w:t>
      </w:r>
      <w:r w:rsidRPr="00886E02">
        <w:t xml:space="preserve"> которы</w:t>
      </w:r>
      <w:r>
        <w:t>м</w:t>
      </w:r>
      <w:r w:rsidRPr="00886E02">
        <w:t xml:space="preserve"> предоставля</w:t>
      </w:r>
      <w:r>
        <w:t>ется</w:t>
      </w:r>
      <w:r w:rsidRPr="00886E02">
        <w:t xml:space="preserve"> тарифная льгота на ввоз технологического оборудования, </w:t>
      </w:r>
      <w:r>
        <w:t>комплектующих и запчастей;</w:t>
      </w:r>
    </w:p>
    <w:p w:rsidR="001F7A98" w:rsidRDefault="001F7A98" w:rsidP="00797891">
      <w:pPr>
        <w:pStyle w:val="2"/>
        <w:numPr>
          <w:ilvl w:val="0"/>
          <w:numId w:val="2"/>
        </w:numPr>
        <w:spacing w:after="120" w:line="276" w:lineRule="auto"/>
        <w:ind w:left="426" w:hanging="426"/>
      </w:pPr>
      <w:r w:rsidRPr="005B56C6">
        <w:t>определ</w:t>
      </w:r>
      <w:r>
        <w:t>ять</w:t>
      </w:r>
      <w:r w:rsidRPr="005B56C6">
        <w:t xml:space="preserve"> особенности обеспечения исполнения обязанности по уплате таможенных пошлин</w:t>
      </w:r>
      <w:r>
        <w:t xml:space="preserve"> и</w:t>
      </w:r>
      <w:r w:rsidRPr="005B56C6">
        <w:t xml:space="preserve"> налогов в виде банковской гарантии или поручительства при предоставлении отсрочки или рассрочки уплаты ввозных таможенных пошлин</w:t>
      </w:r>
      <w:r>
        <w:t xml:space="preserve"> и</w:t>
      </w:r>
      <w:r w:rsidRPr="005B56C6">
        <w:t xml:space="preserve"> налогов</w:t>
      </w:r>
      <w:r>
        <w:t>.</w:t>
      </w:r>
    </w:p>
    <w:p w:rsidR="00797891" w:rsidRDefault="00797891" w:rsidP="00C43DC4">
      <w:pPr>
        <w:pStyle w:val="2"/>
        <w:spacing w:line="276" w:lineRule="auto"/>
        <w:rPr>
          <w:b/>
        </w:rPr>
      </w:pPr>
    </w:p>
    <w:p w:rsidR="00797891" w:rsidRDefault="00797891" w:rsidP="00C43DC4">
      <w:pPr>
        <w:pStyle w:val="2"/>
        <w:spacing w:line="276" w:lineRule="auto"/>
        <w:rPr>
          <w:b/>
        </w:rPr>
      </w:pPr>
    </w:p>
    <w:p w:rsidR="00797891" w:rsidRDefault="00797891" w:rsidP="00C43DC4">
      <w:pPr>
        <w:pStyle w:val="2"/>
        <w:spacing w:line="276" w:lineRule="auto"/>
        <w:rPr>
          <w:b/>
        </w:rPr>
      </w:pPr>
    </w:p>
    <w:p w:rsidR="00C43DC4" w:rsidRPr="00A144F5" w:rsidRDefault="00C43DC4" w:rsidP="00C43DC4">
      <w:pPr>
        <w:pStyle w:val="2"/>
        <w:spacing w:line="276" w:lineRule="auto"/>
        <w:rPr>
          <w:b/>
        </w:rPr>
      </w:pPr>
      <w:r w:rsidRPr="00A144F5">
        <w:rPr>
          <w:b/>
        </w:rPr>
        <w:t xml:space="preserve">Законопроектом предусмотрена следующая </w:t>
      </w:r>
      <w:proofErr w:type="spellStart"/>
      <w:r w:rsidRPr="00A144F5">
        <w:rPr>
          <w:b/>
        </w:rPr>
        <w:t>донастройка</w:t>
      </w:r>
      <w:proofErr w:type="spellEnd"/>
      <w:r w:rsidRPr="00A144F5">
        <w:rPr>
          <w:b/>
        </w:rPr>
        <w:t xml:space="preserve"> налогового режима в </w:t>
      </w:r>
      <w:r>
        <w:rPr>
          <w:b/>
        </w:rPr>
        <w:t>САР</w:t>
      </w:r>
      <w:r w:rsidRPr="00A144F5">
        <w:rPr>
          <w:b/>
        </w:rPr>
        <w:t xml:space="preserve"> на островах Русский (Приморский край) и Октябрьский (Калининградская область):</w:t>
      </w:r>
    </w:p>
    <w:p w:rsidR="00C43DC4" w:rsidRPr="00D91CE6" w:rsidRDefault="00C43DC4" w:rsidP="00C43D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CE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</w:t>
      </w:r>
      <w:r w:rsidRPr="00D91CE6">
        <w:rPr>
          <w:rFonts w:ascii="Times New Roman" w:eastAsia="Calibri" w:hAnsi="Times New Roman" w:cs="Times New Roman"/>
          <w:sz w:val="28"/>
          <w:szCs w:val="28"/>
        </w:rPr>
        <w:t xml:space="preserve"> Смягчение требований к организациям, планирующим получить статус международных холдинговых компаний (МХК) и осуществить перевод своего бизнеса в САР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C43DC4" w:rsidRPr="00D91CE6" w:rsidRDefault="00C43DC4" w:rsidP="00797891">
      <w:pPr>
        <w:pStyle w:val="a5"/>
        <w:numPr>
          <w:ilvl w:val="0"/>
          <w:numId w:val="1"/>
        </w:numPr>
        <w:spacing w:after="0" w:line="276" w:lineRule="auto"/>
        <w:ind w:left="1134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изменить</w:t>
      </w:r>
      <w:r w:rsidRPr="00D91CE6">
        <w:rPr>
          <w:rFonts w:ascii="Times New Roman" w:eastAsia="Calibri" w:hAnsi="Times New Roman" w:cs="Times New Roman"/>
          <w:sz w:val="28"/>
          <w:szCs w:val="28"/>
        </w:rPr>
        <w:t xml:space="preserve"> требования к дате создания таких организаций, позволив приобретать статус МХК более «молодым» организациям, созданным до 01.03.2022 </w:t>
      </w:r>
      <w:r w:rsidRPr="00D91CE6">
        <w:rPr>
          <w:rFonts w:ascii="Times New Roman" w:eastAsia="Calibri" w:hAnsi="Times New Roman" w:cs="Times New Roman"/>
          <w:i/>
          <w:sz w:val="28"/>
          <w:szCs w:val="28"/>
        </w:rPr>
        <w:t>(сейчас это могут сделать только организации, созданные до 01.01.2018)</w:t>
      </w:r>
      <w:r w:rsidRPr="00D91CE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C43DC4" w:rsidRPr="00D91CE6" w:rsidRDefault="00C43DC4" w:rsidP="00797891">
      <w:pPr>
        <w:pStyle w:val="a5"/>
        <w:numPr>
          <w:ilvl w:val="0"/>
          <w:numId w:val="1"/>
        </w:numPr>
        <w:spacing w:after="0" w:line="276" w:lineRule="auto"/>
        <w:ind w:left="1134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CE6">
        <w:rPr>
          <w:rFonts w:ascii="Times New Roman" w:eastAsia="Calibri" w:hAnsi="Times New Roman" w:cs="Times New Roman"/>
          <w:sz w:val="28"/>
          <w:szCs w:val="28"/>
        </w:rPr>
        <w:t>смягчить требование к неизменности состава контролирующих лиц таких организаций, разрешив несущественные</w:t>
      </w:r>
      <w:r w:rsidRPr="00D91CE6">
        <w:rPr>
          <w:rFonts w:ascii="Times New Roman" w:eastAsia="Times New Roman" w:hAnsi="Times New Roman" w:cs="Times New Roman"/>
          <w:sz w:val="28"/>
        </w:rPr>
        <w:t xml:space="preserve"> изменения в его составе не более 25 %</w:t>
      </w:r>
      <w:r w:rsidRPr="00D91CE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43DC4" w:rsidRPr="00D91CE6" w:rsidRDefault="00C43DC4" w:rsidP="00C43D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CE6">
        <w:rPr>
          <w:rFonts w:ascii="Times New Roman" w:eastAsia="Times New Roman" w:hAnsi="Times New Roman" w:cs="Times New Roman"/>
          <w:sz w:val="28"/>
        </w:rPr>
        <w:t>Это расширит круг лиц, имеющих возможность приобрести статус МХК.</w:t>
      </w:r>
    </w:p>
    <w:p w:rsidR="00C43DC4" w:rsidRPr="00D91CE6" w:rsidRDefault="00C43DC4" w:rsidP="00C43D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CE6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D91CE6">
        <w:rPr>
          <w:rFonts w:ascii="Times New Roman" w:eastAsia="Calibri" w:hAnsi="Times New Roman" w:cs="Times New Roman"/>
          <w:sz w:val="28"/>
          <w:szCs w:val="28"/>
        </w:rPr>
        <w:t xml:space="preserve"> Установление по доходам в виде дивидендов, процентов и роялти пониженных ставок по налогу на прибыль организаций: 5 % по полученным и 10 % по выплаченным МХК доходам. </w:t>
      </w:r>
    </w:p>
    <w:p w:rsidR="00C43DC4" w:rsidRPr="00D91CE6" w:rsidRDefault="00C43DC4" w:rsidP="00C43D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CE6">
        <w:rPr>
          <w:rFonts w:ascii="Times New Roman" w:eastAsia="Calibri" w:hAnsi="Times New Roman" w:cs="Times New Roman"/>
          <w:sz w:val="28"/>
          <w:szCs w:val="28"/>
        </w:rPr>
        <w:t xml:space="preserve">Применение указанных ставок предусмотрено до 1 января 2036 года при соблюдении ряда условий (в том числе к структуре доходов и расходов, к составу штата сотрудников, офисному помещению и инвестициям). </w:t>
      </w:r>
    </w:p>
    <w:p w:rsidR="00C43DC4" w:rsidRPr="00D91CE6" w:rsidRDefault="00C43DC4" w:rsidP="00C43D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</w:rPr>
      </w:pPr>
      <w:proofErr w:type="spellStart"/>
      <w:r w:rsidRPr="00D91CE6">
        <w:rPr>
          <w:rFonts w:ascii="Times New Roman" w:eastAsia="Calibri" w:hAnsi="Times New Roman" w:cs="Times New Roman"/>
          <w:i/>
        </w:rPr>
        <w:t>Справочно</w:t>
      </w:r>
      <w:proofErr w:type="spellEnd"/>
      <w:r w:rsidRPr="00D91CE6">
        <w:rPr>
          <w:rFonts w:ascii="Times New Roman" w:eastAsia="Calibri" w:hAnsi="Times New Roman" w:cs="Times New Roman"/>
          <w:i/>
        </w:rPr>
        <w:t>:</w:t>
      </w:r>
    </w:p>
    <w:p w:rsidR="00C43DC4" w:rsidRPr="00D91CE6" w:rsidRDefault="00C43DC4" w:rsidP="00C43D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D91CE6">
        <w:rPr>
          <w:rFonts w:ascii="Times New Roman" w:eastAsia="Calibri" w:hAnsi="Times New Roman" w:cs="Times New Roman"/>
          <w:i/>
        </w:rPr>
        <w:t>Условия, котор</w:t>
      </w:r>
      <w:r>
        <w:rPr>
          <w:rFonts w:ascii="Times New Roman" w:eastAsia="Calibri" w:hAnsi="Times New Roman" w:cs="Times New Roman"/>
          <w:i/>
        </w:rPr>
        <w:t>ые должна выполнить МХК для</w:t>
      </w:r>
      <w:r w:rsidRPr="00D91CE6">
        <w:rPr>
          <w:rFonts w:ascii="Times New Roman" w:eastAsia="Calibri" w:hAnsi="Times New Roman" w:cs="Times New Roman"/>
          <w:i/>
        </w:rPr>
        <w:t xml:space="preserve"> применения пониженных налоговых ставок:</w:t>
      </w:r>
    </w:p>
    <w:p w:rsidR="00C43DC4" w:rsidRPr="00D91CE6" w:rsidRDefault="00C43DC4" w:rsidP="00C43D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D91CE6">
        <w:rPr>
          <w:rFonts w:ascii="Times New Roman" w:eastAsia="Calibri" w:hAnsi="Times New Roman" w:cs="Times New Roman"/>
          <w:i/>
        </w:rPr>
        <w:t>- осуществление инвестиций в размере не менее 300 млн. рублей в строительство социальной, транспортной, энергетической и инженерной инфраструктуры в регионе регистрации МХК;</w:t>
      </w:r>
    </w:p>
    <w:p w:rsidR="00C43DC4" w:rsidRPr="00D91CE6" w:rsidRDefault="00C43DC4" w:rsidP="00C43D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D91CE6">
        <w:rPr>
          <w:rFonts w:ascii="Times New Roman" w:eastAsia="Calibri" w:hAnsi="Times New Roman" w:cs="Times New Roman"/>
          <w:i/>
        </w:rPr>
        <w:t>- доля доходов от пассивной деятельности должна быть более 90%;</w:t>
      </w:r>
    </w:p>
    <w:p w:rsidR="00C43DC4" w:rsidRPr="00D91CE6" w:rsidRDefault="00C43DC4" w:rsidP="00C43D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D91CE6">
        <w:rPr>
          <w:rFonts w:ascii="Times New Roman" w:eastAsia="Calibri" w:hAnsi="Times New Roman" w:cs="Times New Roman"/>
          <w:i/>
        </w:rPr>
        <w:t>- в штате должны находиться не менее 15 сотрудников, проживающих в САР и</w:t>
      </w:r>
      <w:r w:rsidRPr="00D91CE6">
        <w:rPr>
          <w:rFonts w:ascii="Times New Roman" w:eastAsia="Calibri" w:hAnsi="Times New Roman" w:cs="Times New Roman"/>
          <w:i/>
          <w:iCs/>
        </w:rPr>
        <w:t xml:space="preserve"> осуществляющих функции, относящиеся к основной деятельности МХК;</w:t>
      </w:r>
    </w:p>
    <w:p w:rsidR="00C43DC4" w:rsidRPr="00D91CE6" w:rsidRDefault="00C43DC4" w:rsidP="00C43D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D91CE6">
        <w:rPr>
          <w:rFonts w:ascii="Times New Roman" w:eastAsia="Calibri" w:hAnsi="Times New Roman" w:cs="Times New Roman"/>
          <w:i/>
        </w:rPr>
        <w:t>- площадь офиса, находящегося в САР, составляет не менее 50 квадратных метров;</w:t>
      </w:r>
    </w:p>
    <w:p w:rsidR="00C43DC4" w:rsidRPr="00D91CE6" w:rsidRDefault="00C43DC4" w:rsidP="00C43D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D91CE6">
        <w:rPr>
          <w:rFonts w:ascii="Times New Roman" w:eastAsia="Calibri" w:hAnsi="Times New Roman" w:cs="Times New Roman"/>
          <w:i/>
        </w:rPr>
        <w:t>- доля расходов, понесенных МХК на территории Российской Федерации, составляет более 70 процентов от общей суммы понесенных ею расходов;</w:t>
      </w:r>
    </w:p>
    <w:p w:rsidR="00C43DC4" w:rsidRPr="00D91CE6" w:rsidRDefault="00C43DC4" w:rsidP="00C43D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D91CE6">
        <w:rPr>
          <w:rFonts w:ascii="Times New Roman" w:eastAsia="Calibri" w:hAnsi="Times New Roman" w:cs="Times New Roman"/>
          <w:i/>
        </w:rPr>
        <w:t>- принятие управленческих решений осуществляется в России;</w:t>
      </w:r>
    </w:p>
    <w:p w:rsidR="00C43DC4" w:rsidRPr="00D91CE6" w:rsidRDefault="00C43DC4" w:rsidP="00C43D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D91CE6">
        <w:rPr>
          <w:rFonts w:ascii="Times New Roman" w:eastAsia="Calibri" w:hAnsi="Times New Roman" w:cs="Times New Roman"/>
          <w:i/>
        </w:rPr>
        <w:t>- хотя бы одно контролирующее лицо является налоговым резидентом Российской Федерации;</w:t>
      </w:r>
    </w:p>
    <w:p w:rsidR="00C43DC4" w:rsidRPr="00D91CE6" w:rsidRDefault="00C43DC4" w:rsidP="00C43D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D91CE6">
        <w:rPr>
          <w:rFonts w:ascii="Times New Roman" w:eastAsia="Calibri" w:hAnsi="Times New Roman" w:cs="Times New Roman"/>
          <w:i/>
        </w:rPr>
        <w:t>- при наличии у МХК обособленных подразделений в Российской Федерации они должны располагаться в пределах САР.</w:t>
      </w:r>
    </w:p>
    <w:p w:rsidR="00C43DC4" w:rsidRDefault="00C43DC4" w:rsidP="00C43D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CE6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D91CE6">
        <w:rPr>
          <w:rFonts w:ascii="Times New Roman" w:eastAsia="Calibri" w:hAnsi="Times New Roman" w:cs="Times New Roman"/>
          <w:sz w:val="28"/>
          <w:szCs w:val="28"/>
        </w:rPr>
        <w:t xml:space="preserve"> Освобождение от налогообложения </w:t>
      </w:r>
      <w:r>
        <w:rPr>
          <w:rFonts w:ascii="Times New Roman" w:eastAsia="Calibri" w:hAnsi="Times New Roman" w:cs="Times New Roman"/>
          <w:sz w:val="28"/>
          <w:szCs w:val="28"/>
        </w:rPr>
        <w:t>доходов</w:t>
      </w:r>
      <w:r w:rsidRPr="00D91C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03C2">
        <w:rPr>
          <w:rFonts w:ascii="Times New Roman" w:eastAsia="Calibri" w:hAnsi="Times New Roman" w:cs="Times New Roman"/>
          <w:sz w:val="28"/>
          <w:szCs w:val="28"/>
        </w:rPr>
        <w:t xml:space="preserve">от участия в проекте по добыче полезных ископаемых на основании соглашений о разделе продукции или иных аналогичных соглашений и в виде курсовых </w:t>
      </w:r>
      <w:proofErr w:type="spellStart"/>
      <w:r w:rsidRPr="004D03C2">
        <w:rPr>
          <w:rFonts w:ascii="Times New Roman" w:eastAsia="Calibri" w:hAnsi="Times New Roman" w:cs="Times New Roman"/>
          <w:sz w:val="28"/>
          <w:szCs w:val="28"/>
        </w:rPr>
        <w:t>разниц</w:t>
      </w:r>
      <w:proofErr w:type="spellEnd"/>
      <w:r w:rsidRPr="004D03C2">
        <w:rPr>
          <w:rFonts w:ascii="Times New Roman" w:eastAsia="Calibri" w:hAnsi="Times New Roman" w:cs="Times New Roman"/>
          <w:sz w:val="28"/>
          <w:szCs w:val="28"/>
        </w:rPr>
        <w:t xml:space="preserve">, возникающих при </w:t>
      </w:r>
      <w:proofErr w:type="spellStart"/>
      <w:r w:rsidRPr="004D03C2">
        <w:rPr>
          <w:rFonts w:ascii="Times New Roman" w:eastAsia="Calibri" w:hAnsi="Times New Roman" w:cs="Times New Roman"/>
          <w:sz w:val="28"/>
          <w:szCs w:val="28"/>
        </w:rPr>
        <w:t>дооценке</w:t>
      </w:r>
      <w:proofErr w:type="spellEnd"/>
      <w:r w:rsidRPr="004D03C2">
        <w:rPr>
          <w:rFonts w:ascii="Times New Roman" w:eastAsia="Calibri" w:hAnsi="Times New Roman" w:cs="Times New Roman"/>
          <w:sz w:val="28"/>
          <w:szCs w:val="28"/>
        </w:rPr>
        <w:t xml:space="preserve"> имущества. </w:t>
      </w:r>
    </w:p>
    <w:p w:rsidR="001F7A98" w:rsidRDefault="00C43DC4" w:rsidP="0079789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3C2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D91CE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D91CE6">
        <w:rPr>
          <w:rFonts w:ascii="Times New Roman" w:eastAsia="Calibri" w:hAnsi="Times New Roman" w:cs="Times New Roman"/>
          <w:sz w:val="28"/>
          <w:szCs w:val="28"/>
        </w:rPr>
        <w:t xml:space="preserve"> Введение стабилизационных оговор</w:t>
      </w:r>
      <w:r>
        <w:rPr>
          <w:rFonts w:ascii="Times New Roman" w:eastAsia="Calibri" w:hAnsi="Times New Roman" w:cs="Times New Roman"/>
          <w:sz w:val="28"/>
          <w:szCs w:val="28"/>
        </w:rPr>
        <w:t>ок, направленных на сохранение для</w:t>
      </w:r>
      <w:r w:rsidRPr="00D91CE6">
        <w:rPr>
          <w:rFonts w:ascii="Times New Roman" w:eastAsia="Calibri" w:hAnsi="Times New Roman" w:cs="Times New Roman"/>
          <w:sz w:val="28"/>
          <w:szCs w:val="28"/>
        </w:rPr>
        <w:t xml:space="preserve"> МХК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налоговых условий </w:t>
      </w:r>
      <w:r w:rsidRPr="00D91CE6">
        <w:rPr>
          <w:rFonts w:ascii="Times New Roman" w:eastAsia="Calibri" w:hAnsi="Times New Roman" w:cs="Times New Roman"/>
          <w:sz w:val="28"/>
          <w:szCs w:val="28"/>
        </w:rPr>
        <w:t xml:space="preserve">по налогу на прибыль организаций, налогу на имущество и транспортному налогу, действовавших на день </w:t>
      </w:r>
      <w:r>
        <w:rPr>
          <w:rFonts w:ascii="Times New Roman" w:eastAsia="Calibri" w:hAnsi="Times New Roman" w:cs="Times New Roman"/>
          <w:sz w:val="28"/>
          <w:szCs w:val="28"/>
        </w:rPr>
        <w:t>получения</w:t>
      </w:r>
      <w:r w:rsidRPr="00D91CE6">
        <w:rPr>
          <w:rFonts w:ascii="Times New Roman" w:eastAsia="Calibri" w:hAnsi="Times New Roman" w:cs="Times New Roman"/>
          <w:sz w:val="28"/>
          <w:szCs w:val="28"/>
        </w:rPr>
        <w:t xml:space="preserve"> ими соответствующего статуса.</w:t>
      </w:r>
    </w:p>
    <w:p w:rsidR="00326316" w:rsidRDefault="00326316" w:rsidP="0079789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6316" w:rsidRPr="00326316" w:rsidRDefault="00326316" w:rsidP="00326316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26316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КОММЕНТАРИЙ ЭКСПЕРТА: </w:t>
      </w:r>
    </w:p>
    <w:p w:rsidR="00326316" w:rsidRDefault="00326316" w:rsidP="0079789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6316" w:rsidRDefault="00326316" w:rsidP="0032631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316">
        <w:rPr>
          <w:rFonts w:ascii="Times New Roman" w:eastAsia="Calibri" w:hAnsi="Times New Roman" w:cs="Times New Roman"/>
          <w:sz w:val="28"/>
          <w:szCs w:val="28"/>
        </w:rPr>
        <w:t xml:space="preserve">Владимир </w:t>
      </w:r>
      <w:proofErr w:type="spellStart"/>
      <w:r w:rsidRPr="00326316">
        <w:rPr>
          <w:rFonts w:ascii="Times New Roman" w:eastAsia="Calibri" w:hAnsi="Times New Roman" w:cs="Times New Roman"/>
          <w:sz w:val="28"/>
          <w:szCs w:val="28"/>
        </w:rPr>
        <w:t>Саськов</w:t>
      </w:r>
      <w:proofErr w:type="spellEnd"/>
      <w:r w:rsidRPr="00326316">
        <w:rPr>
          <w:rFonts w:ascii="Times New Roman" w:eastAsia="Calibri" w:hAnsi="Times New Roman" w:cs="Times New Roman"/>
          <w:sz w:val="28"/>
          <w:szCs w:val="28"/>
        </w:rPr>
        <w:t>, эксперт Института налогового менеджмента и экономики недвижимости НИУ ВШЭ, директор Ассоциации налоговых консультантов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326316" w:rsidRDefault="00326316" w:rsidP="0079789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6316" w:rsidRPr="00326316" w:rsidRDefault="00326316" w:rsidP="0032631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2631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Пакет мер налоговой поддержки, законодательно принятый в последние дни, фактически представляет собой </w:t>
      </w:r>
      <w:proofErr w:type="spellStart"/>
      <w:r w:rsidRPr="00326316">
        <w:rPr>
          <w:rFonts w:ascii="Times New Roman" w:eastAsia="Calibri" w:hAnsi="Times New Roman" w:cs="Times New Roman"/>
          <w:i/>
          <w:iCs/>
          <w:sz w:val="28"/>
          <w:szCs w:val="28"/>
        </w:rPr>
        <w:t>двухвекторный</w:t>
      </w:r>
      <w:proofErr w:type="spellEnd"/>
      <w:r w:rsidRPr="0032631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формат:</w:t>
      </w:r>
    </w:p>
    <w:p w:rsidR="00326316" w:rsidRPr="00326316" w:rsidRDefault="00326316" w:rsidP="0032631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2631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- долгосрочная система мер, направленная на развитие экономики, включая </w:t>
      </w:r>
      <w:proofErr w:type="spellStart"/>
      <w:r w:rsidRPr="00326316">
        <w:rPr>
          <w:rFonts w:ascii="Times New Roman" w:eastAsia="Calibri" w:hAnsi="Times New Roman" w:cs="Times New Roman"/>
          <w:i/>
          <w:iCs/>
          <w:sz w:val="28"/>
          <w:szCs w:val="28"/>
        </w:rPr>
        <w:t>донастройку</w:t>
      </w:r>
      <w:proofErr w:type="spellEnd"/>
      <w:r w:rsidRPr="0032631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отдельных элементов налогового администрирования;</w:t>
      </w:r>
    </w:p>
    <w:p w:rsidR="00326316" w:rsidRPr="00326316" w:rsidRDefault="00326316" w:rsidP="0032631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2631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- краткосрочная, антикризисная адаптивная система мер налоговой поддержки в текущих условиях.</w:t>
      </w:r>
    </w:p>
    <w:p w:rsidR="00326316" w:rsidRPr="00326316" w:rsidRDefault="00326316" w:rsidP="0032631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26316">
        <w:rPr>
          <w:rFonts w:ascii="Times New Roman" w:eastAsia="Calibri" w:hAnsi="Times New Roman" w:cs="Times New Roman"/>
          <w:i/>
          <w:iCs/>
          <w:sz w:val="28"/>
          <w:szCs w:val="28"/>
        </w:rPr>
        <w:t>Именно к системным и долгосрочным мерам налогового стимулирования экономической активности можно отнести принятое решение о налоговых льготах на Курильских островах. Напомним, для налогоплательщиков, зарегистрировавшихся на Курильских островах с 1 января 2022 года введено «нулевое» налогообложение по земельному, транспортному, имущественному налогам, а также по налогу на прибыль. Кроме того, они смогут применять пониженные тарифы страховых взносов.</w:t>
      </w:r>
    </w:p>
    <w:p w:rsidR="00326316" w:rsidRPr="00326316" w:rsidRDefault="00326316" w:rsidP="0032631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26316">
        <w:rPr>
          <w:rFonts w:ascii="Times New Roman" w:eastAsia="Calibri" w:hAnsi="Times New Roman" w:cs="Times New Roman"/>
          <w:i/>
          <w:iCs/>
          <w:sz w:val="28"/>
          <w:szCs w:val="28"/>
        </w:rPr>
        <w:t>Такой мерой государство намерено простимулировать инвестиционную привлекательность региона.</w:t>
      </w:r>
    </w:p>
    <w:p w:rsidR="00326316" w:rsidRPr="00326316" w:rsidRDefault="00326316" w:rsidP="0032631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26316">
        <w:rPr>
          <w:rFonts w:ascii="Times New Roman" w:eastAsia="Calibri" w:hAnsi="Times New Roman" w:cs="Times New Roman"/>
          <w:i/>
          <w:iCs/>
          <w:sz w:val="28"/>
          <w:szCs w:val="28"/>
        </w:rPr>
        <w:t>Думается, что внедряемая система мер налоговой поддержки обеспечит интенсификацию освоения курильских богатств и динамичное развитие региона.</w:t>
      </w:r>
    </w:p>
    <w:p w:rsidR="00326316" w:rsidRPr="00326316" w:rsidRDefault="00326316" w:rsidP="0032631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2631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 то же время, приостановку налогообложения НДФЛ доходов граждан по вкладам следует рассматривать как элемент адаптивной антикризисной программы налоговой поддержки. Безусловно, в условиях падения привлекательности размещения средств в банковских вкладах, налог на процентный доход выступает дополнительным </w:t>
      </w:r>
      <w:proofErr w:type="spellStart"/>
      <w:r w:rsidRPr="00326316">
        <w:rPr>
          <w:rFonts w:ascii="Times New Roman" w:eastAsia="Calibri" w:hAnsi="Times New Roman" w:cs="Times New Roman"/>
          <w:i/>
          <w:iCs/>
          <w:sz w:val="28"/>
          <w:szCs w:val="28"/>
        </w:rPr>
        <w:t>дестимулирующим</w:t>
      </w:r>
      <w:proofErr w:type="spellEnd"/>
      <w:r w:rsidRPr="0032631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фактором услуг банковского депозита. </w:t>
      </w:r>
    </w:p>
    <w:p w:rsidR="00326316" w:rsidRPr="00326316" w:rsidRDefault="00326316" w:rsidP="0032631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26316">
        <w:rPr>
          <w:rFonts w:ascii="Times New Roman" w:eastAsia="Calibri" w:hAnsi="Times New Roman" w:cs="Times New Roman"/>
          <w:i/>
          <w:iCs/>
          <w:sz w:val="28"/>
          <w:szCs w:val="28"/>
        </w:rPr>
        <w:t>Стоит отметить своевременность приостановки этого режима налогообложения до начала декларационной кампании.</w:t>
      </w:r>
    </w:p>
    <w:sectPr w:rsidR="00326316" w:rsidRPr="00326316" w:rsidSect="00797891">
      <w:pgSz w:w="11906" w:h="16838"/>
      <w:pgMar w:top="851" w:right="850" w:bottom="1135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3678A"/>
    <w:multiLevelType w:val="hybridMultilevel"/>
    <w:tmpl w:val="A9D018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F3D7721"/>
    <w:multiLevelType w:val="hybridMultilevel"/>
    <w:tmpl w:val="FF3ADB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BF15C4D"/>
    <w:multiLevelType w:val="hybridMultilevel"/>
    <w:tmpl w:val="7F16F6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/>
  <w:rsids>
    <w:rsidRoot w:val="001F7A98"/>
    <w:rsid w:val="00112258"/>
    <w:rsid w:val="00187F1D"/>
    <w:rsid w:val="001F7A98"/>
    <w:rsid w:val="00326316"/>
    <w:rsid w:val="004D03C2"/>
    <w:rsid w:val="00553B0D"/>
    <w:rsid w:val="005F495C"/>
    <w:rsid w:val="00622A86"/>
    <w:rsid w:val="006772B6"/>
    <w:rsid w:val="006B7127"/>
    <w:rsid w:val="00797891"/>
    <w:rsid w:val="008F5A35"/>
    <w:rsid w:val="00A144F5"/>
    <w:rsid w:val="00BA1DC2"/>
    <w:rsid w:val="00C43DC4"/>
    <w:rsid w:val="00CD212A"/>
    <w:rsid w:val="00D02F6F"/>
    <w:rsid w:val="00D71396"/>
    <w:rsid w:val="00D91CE6"/>
    <w:rsid w:val="00DC42B6"/>
    <w:rsid w:val="00F73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1F7A98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F7A98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91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1CE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91CE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1225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112258"/>
    <w:pPr>
      <w:spacing w:after="0" w:line="240" w:lineRule="auto"/>
    </w:pPr>
    <w:rPr>
      <w:rFonts w:ascii="Calibri" w:hAnsi="Calibri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112258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9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Мусаева Залина Исмаиловна</dc:creator>
  <cp:lastModifiedBy>ЕТокмакова</cp:lastModifiedBy>
  <cp:revision>2</cp:revision>
  <dcterms:created xsi:type="dcterms:W3CDTF">2022-03-16T23:55:00Z</dcterms:created>
  <dcterms:modified xsi:type="dcterms:W3CDTF">2022-03-16T23:55:00Z</dcterms:modified>
</cp:coreProperties>
</file>