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6E" w:rsidRPr="00E303EF" w:rsidRDefault="00E303EF">
      <w:pPr>
        <w:rPr>
          <w:b/>
          <w:bCs/>
        </w:rPr>
      </w:pPr>
      <w:r w:rsidRPr="00E303EF">
        <w:rPr>
          <w:b/>
          <w:bCs/>
        </w:rPr>
        <w:t>Что делать, если вам позвонили якобы из Банка России</w:t>
      </w:r>
    </w:p>
    <w:p w:rsidR="00E303EF" w:rsidRDefault="00E303EF"/>
    <w:p w:rsidR="00E303EF" w:rsidRDefault="00E303EF" w:rsidP="00EC22CB">
      <w:pPr>
        <w:jc w:val="both"/>
        <w:rPr>
          <w:b/>
          <w:bCs/>
          <w:i/>
          <w:iCs/>
        </w:rPr>
      </w:pPr>
      <w:r w:rsidRPr="00E303EF">
        <w:rPr>
          <w:b/>
          <w:bCs/>
          <w:i/>
          <w:iCs/>
        </w:rPr>
        <w:t>Телефонные мошенники стали чаще представляться Банком России, следует из информационного бюллетеня ЦБ. Ранее регулятор сообщил, что с 25 февраля по 31 марта 2021 года в его колл-центр поступило 23,6 тысячи звонков потребителей финансовых услуг (на 5% больше, чем месяцем ранее). "Наиболее часто встречающаяся тематика звонков - "мошенничество от имени Банка России" (7,9% от общего объема)", - отметили в Банке России.</w:t>
      </w:r>
    </w:p>
    <w:p w:rsidR="00E303EF" w:rsidRDefault="00E303EF" w:rsidP="00EC22CB">
      <w:pPr>
        <w:jc w:val="both"/>
        <w:rPr>
          <w:b/>
          <w:bCs/>
          <w:i/>
          <w:iCs/>
        </w:rPr>
      </w:pPr>
    </w:p>
    <w:p w:rsidR="00E303EF" w:rsidRDefault="00E303EF" w:rsidP="00EC22CB">
      <w:pPr>
        <w:jc w:val="both"/>
      </w:pPr>
      <w:r>
        <w:t>Эксперт по финансовой грамотности рассказала "Российской газете", как не попасться на модифицированную удочку телефонных мошенников.</w:t>
      </w:r>
    </w:p>
    <w:p w:rsidR="00E303EF" w:rsidRDefault="00E303EF" w:rsidP="00EC22CB">
      <w:pPr>
        <w:jc w:val="both"/>
      </w:pPr>
    </w:p>
    <w:p w:rsidR="00E303EF" w:rsidRDefault="00E303EF" w:rsidP="00EC22CB">
      <w:pPr>
        <w:jc w:val="both"/>
      </w:pPr>
      <w:r>
        <w:t>Анна Чаплыгина, эксперт Центра финансовой грамотности НИФИ Минфина России:</w:t>
      </w:r>
    </w:p>
    <w:p w:rsidR="00E303EF" w:rsidRDefault="00E303EF" w:rsidP="00EC22CB">
      <w:pPr>
        <w:jc w:val="both"/>
      </w:pPr>
    </w:p>
    <w:p w:rsidR="00E303EF" w:rsidRDefault="00E303EF" w:rsidP="00EC22CB">
      <w:pPr>
        <w:jc w:val="both"/>
      </w:pPr>
      <w:r>
        <w:t>- Известный парадокс борьбы снаряда против брони применительно к финансовому мошенничеству можно сформулировать так: как только усилия государства дают эффект и люди перестают верить распространенной "легенде" злоумышленников, мошенничество переходит на новый уровень и начинают появляться новые модификации "легенд", новые приемы социальной инженерии.</w:t>
      </w:r>
    </w:p>
    <w:p w:rsidR="00E303EF" w:rsidRDefault="00E303EF" w:rsidP="00EC22CB">
      <w:pPr>
        <w:jc w:val="both"/>
      </w:pPr>
    </w:p>
    <w:p w:rsidR="00E303EF" w:rsidRDefault="00E303EF" w:rsidP="00EC22CB">
      <w:pPr>
        <w:jc w:val="both"/>
      </w:pPr>
      <w:r>
        <w:t xml:space="preserve">Весной прошлого года, в период первой вспышки </w:t>
      </w:r>
      <w:proofErr w:type="spellStart"/>
      <w:r>
        <w:t>коронавируса</w:t>
      </w:r>
      <w:proofErr w:type="spellEnd"/>
      <w:r>
        <w:t xml:space="preserve">, по </w:t>
      </w:r>
      <w:proofErr w:type="spellStart"/>
      <w:r>
        <w:t>соцсетям</w:t>
      </w:r>
      <w:proofErr w:type="spellEnd"/>
      <w:r>
        <w:t xml:space="preserve"> прокатилась волна ложных объявлений о государственной поддержке, для получения которой якобы достаточно было ввести данные своей карты. Сейчас этот тип мошенничества трансформировался в историю про компенсации якобы от Банка России, который, конечно же, не занимается такого рода выплатами населению.</w:t>
      </w:r>
    </w:p>
    <w:p w:rsidR="00E303EF" w:rsidRDefault="00E303EF" w:rsidP="00EC22CB">
      <w:pPr>
        <w:jc w:val="both"/>
      </w:pPr>
    </w:p>
    <w:p w:rsidR="00E303EF" w:rsidRDefault="00E303EF" w:rsidP="00EC22CB">
      <w:pPr>
        <w:jc w:val="both"/>
      </w:pPr>
      <w:r>
        <w:t xml:space="preserve">Похожим образом меняется и ставшая понятной для многих граждан схема телефонного мошенничества: "Вас беспокоит служба безопасности банка". Социальная реклама с раскрытием этой схемы появилась в городском транспорте, а противодействием такому типу уловок активно занимаются не только Минфин России, Банк России и другие ведомства, но и коммерческие банки - почти в любом банкомате заставка предупреждает, что такие </w:t>
      </w:r>
      <w:proofErr w:type="spellStart"/>
      <w:r>
        <w:t>псевдозвонки</w:t>
      </w:r>
      <w:proofErr w:type="spellEnd"/>
      <w:r>
        <w:t xml:space="preserve"> (якобы из банков) могут быть опасны. Вероятно, мошенники заметили, что граждане стали бдительнее, и тоже перестроились, перешли на новый уровень. Теперь все чаще людям звонят для того, чтобы они помогли поймать телефонных мошенников. В этих случаях преступники могут представляться сотрудниками прокуратуры или ФСБ: они, как и более привычные телефонные аферисты, говорят очень напористо и уверенно и вынуждают граждан следовать указаниям мошенников, чтобы подтвердить факт правонарушения.</w:t>
      </w:r>
    </w:p>
    <w:p w:rsidR="00E303EF" w:rsidRDefault="00E303EF" w:rsidP="00EC22CB">
      <w:pPr>
        <w:jc w:val="both"/>
      </w:pPr>
    </w:p>
    <w:p w:rsidR="00E303EF" w:rsidRDefault="00E303EF" w:rsidP="00EC22CB">
      <w:pPr>
        <w:jc w:val="both"/>
      </w:pPr>
      <w:r>
        <w:t>Разумеется, если задуматься, станет очевидно, что правоохранительные органы в таких случаях не стали бы обращаться по телефону, а пригласили бы человека явиться лично. Но в ситуации стресса, руководствуясь желанием помочь, многие верят этой легенде и выдают злоумышленникам доступ к своим персональным данным и данным своих банковских карт, а иногда и напрямую передают свои накопления. Такая доверчивость подкрепляется некоторой гордостью от участия в "спецоперации" по поимке мошенников, но, увы, это лишь еще один способ введения в заблуждение с использованием психологических уловок.</w:t>
      </w:r>
    </w:p>
    <w:p w:rsidR="00E303EF" w:rsidRDefault="00E303EF" w:rsidP="00EC22CB">
      <w:pPr>
        <w:jc w:val="both"/>
      </w:pPr>
    </w:p>
    <w:p w:rsidR="00E303EF" w:rsidRDefault="00E303EF" w:rsidP="00EC22CB">
      <w:pPr>
        <w:jc w:val="both"/>
      </w:pPr>
      <w:r>
        <w:lastRenderedPageBreak/>
        <w:t>Совет можно дать один: кто бы ни звонил или ни писал вам, призывая что-либо сделать с банковской картой или счетом, предоставить их данные или личную информацию (даже если вам обещают помощь или просят о помощи ради благой цели), всегда отвечайте "нет" и берите ситуацию в свои руки. Не позволяйте собой руководить. Перезвоните в свой банк по официальному номеру: он указан на обороте карты, в мобильном приложении или личном кабинете онлайн-банка. Удостоверьтесь, что ваши средства в безопасности. Если звонящий представляется сотрудником правоохранительных органов, Банка России или иной государственной структуры, достаточно запомнить, о какой конкретно организации идет речь, а дальше действовать по тому же алгоритму - найти на официальном сайте верный номер телефона и перезвонить самостоятельно.</w:t>
      </w:r>
    </w:p>
    <w:p w:rsidR="00EC22CB" w:rsidRDefault="00EC22CB" w:rsidP="00E303EF"/>
    <w:p w:rsidR="00EC22CB" w:rsidRDefault="00EC22CB" w:rsidP="00E303EF">
      <w:r>
        <w:t>Источник: Российская газета</w:t>
      </w:r>
    </w:p>
    <w:p w:rsidR="00EC22CB" w:rsidRPr="00E303EF" w:rsidRDefault="00EC22CB" w:rsidP="00E303EF"/>
    <w:sectPr w:rsidR="00EC22CB" w:rsidRPr="00E303EF" w:rsidSect="001B3527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AF" w:rsidRDefault="006609AF" w:rsidP="00E303EF">
      <w:r>
        <w:separator/>
      </w:r>
    </w:p>
  </w:endnote>
  <w:endnote w:type="continuationSeparator" w:id="0">
    <w:p w:rsidR="006609AF" w:rsidRDefault="006609AF" w:rsidP="00E3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AF" w:rsidRDefault="006609AF" w:rsidP="00E303EF">
      <w:r>
        <w:separator/>
      </w:r>
    </w:p>
  </w:footnote>
  <w:footnote w:type="continuationSeparator" w:id="0">
    <w:p w:rsidR="006609AF" w:rsidRDefault="006609AF" w:rsidP="00E30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4"/>
      <w:gridCol w:w="8635"/>
    </w:tblGrid>
    <w:tr w:rsidR="00E303EF" w:rsidTr="00832CC8">
      <w:tc>
        <w:tcPr>
          <w:tcW w:w="704" w:type="dxa"/>
        </w:tcPr>
        <w:p w:rsidR="00E303EF" w:rsidRDefault="00390B4B" w:rsidP="00E303EF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="00E303EF"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="00E303EF"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:rsidR="00E303EF" w:rsidRPr="005E6DB9" w:rsidRDefault="00E303EF" w:rsidP="00E303EF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:rsidR="00E303EF" w:rsidRDefault="00E303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3EF"/>
    <w:rsid w:val="001B3527"/>
    <w:rsid w:val="00390B4B"/>
    <w:rsid w:val="006609AF"/>
    <w:rsid w:val="0096146E"/>
    <w:rsid w:val="00A250EB"/>
    <w:rsid w:val="00CD1938"/>
    <w:rsid w:val="00E303EF"/>
    <w:rsid w:val="00E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3EF"/>
  </w:style>
  <w:style w:type="paragraph" w:styleId="a5">
    <w:name w:val="footer"/>
    <w:basedOn w:val="a"/>
    <w:link w:val="a6"/>
    <w:uiPriority w:val="99"/>
    <w:unhideWhenUsed/>
    <w:rsid w:val="00E30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3EF"/>
  </w:style>
  <w:style w:type="table" w:styleId="a7">
    <w:name w:val="Table Grid"/>
    <w:basedOn w:val="a1"/>
    <w:uiPriority w:val="39"/>
    <w:rsid w:val="00E30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19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>Home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2021-07-06T08:05:00Z</dcterms:created>
  <dcterms:modified xsi:type="dcterms:W3CDTF">2021-07-06T08:05:00Z</dcterms:modified>
</cp:coreProperties>
</file>